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napToGrid w:val="0"/>
        <w:spacing w:line="240" w:lineRule="auto"/>
        <w:rPr>
          <w:rFonts w:hint="eastAsia" w:ascii="黑体" w:hAnsi="黑体" w:eastAsia="黑体" w:cs="黑体"/>
          <w:bCs/>
          <w:color w:val="000000" w:themeColor="text1"/>
          <w:sz w:val="28"/>
          <w:szCs w:val="28"/>
          <w:lang w:val="en-US" w:bidi="ar"/>
          <w14:textFill>
            <w14:solidFill>
              <w14:schemeClr w14:val="tx1"/>
            </w14:solidFill>
          </w14:textFill>
        </w:rPr>
      </w:pPr>
      <w:r>
        <w:rPr>
          <w:rFonts w:hint="eastAsia" w:ascii="黑体" w:hAnsi="黑体" w:eastAsia="黑体" w:cs="黑体"/>
          <w:bCs/>
          <w:color w:val="000000" w:themeColor="text1"/>
          <w:sz w:val="28"/>
          <w:szCs w:val="28"/>
          <w:lang w:val="en-US" w:bidi="ar"/>
          <w14:textFill>
            <w14:solidFill>
              <w14:schemeClr w14:val="tx1"/>
            </w14:solidFill>
          </w14:textFill>
        </w:rPr>
        <w:t>附件</w:t>
      </w:r>
    </w:p>
    <w:p>
      <w:pPr>
        <w:ind w:left="2436" w:leftChars="304" w:hanging="1767" w:hangingChars="400"/>
        <w:jc w:val="center"/>
        <w:rPr>
          <w:rFonts w:hint="eastAsia" w:asciiTheme="majorEastAsia" w:hAnsiTheme="majorEastAsia" w:eastAsiaTheme="majorEastAsia" w:cstheme="majorEastAsia"/>
          <w:b/>
          <w:bCs/>
          <w:color w:val="000000" w:themeColor="text1"/>
          <w:spacing w:val="0"/>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pacing w:val="0"/>
          <w:sz w:val="44"/>
          <w:szCs w:val="44"/>
          <w14:textFill>
            <w14:solidFill>
              <w14:schemeClr w14:val="tx1"/>
            </w14:solidFill>
          </w14:textFill>
        </w:rPr>
        <w:t>《江西省建设工程造价咨询业行业自律成本参考价》（试行）</w:t>
      </w:r>
    </w:p>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center"/>
        <w:rPr>
          <w:rFonts w:hint="eastAsia"/>
          <w:b/>
          <w:color w:val="000000" w:themeColor="text1"/>
          <w:sz w:val="36"/>
          <w:szCs w:val="36"/>
          <w:lang w:val="en-US" w:eastAsia="zh-CN" w:bidi="ar"/>
          <w14:textFill>
            <w14:solidFill>
              <w14:schemeClr w14:val="tx1"/>
            </w14:solidFill>
          </w14:textFill>
        </w:rPr>
      </w:pPr>
      <w:r>
        <w:rPr>
          <w:rFonts w:hint="eastAsia"/>
          <w:b/>
          <w:color w:val="000000" w:themeColor="text1"/>
          <w:sz w:val="44"/>
          <w:szCs w:val="44"/>
          <w:lang w:val="en-US" w:bidi="ar"/>
          <w14:textFill>
            <w14:solidFill>
              <w14:schemeClr w14:val="tx1"/>
            </w14:solidFill>
          </w14:textFill>
        </w:rPr>
        <w:t xml:space="preserve"> </w:t>
      </w:r>
      <w:r>
        <w:rPr>
          <w:rFonts w:hint="eastAsia"/>
          <w:b/>
          <w:color w:val="000000" w:themeColor="text1"/>
          <w:sz w:val="36"/>
          <w:szCs w:val="36"/>
          <w:lang w:val="en-US" w:bidi="ar"/>
          <w14:textFill>
            <w14:solidFill>
              <w14:schemeClr w14:val="tx1"/>
            </w14:solidFill>
          </w14:textFill>
        </w:rPr>
        <w:t xml:space="preserve">                                                                                                                                                           </w:t>
      </w:r>
      <w:r>
        <w:rPr>
          <w:rFonts w:hint="eastAsia"/>
          <w:b/>
          <w:color w:val="000000" w:themeColor="text1"/>
          <w:sz w:val="36"/>
          <w:szCs w:val="36"/>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b/>
          <w:color w:val="000000" w:themeColor="text1"/>
          <w:sz w:val="28"/>
          <w:szCs w:val="28"/>
          <w14:textFill>
            <w14:solidFill>
              <w14:schemeClr w14:val="tx1"/>
            </w14:solidFill>
          </w14:textFill>
        </w:rPr>
      </w:pPr>
      <w:r>
        <w:rPr>
          <w:rFonts w:hint="eastAsia"/>
          <w:b/>
          <w:color w:val="000000" w:themeColor="text1"/>
          <w:sz w:val="36"/>
          <w:szCs w:val="36"/>
          <w:lang w:val="en-US" w:eastAsia="zh-CN" w:bidi="ar"/>
          <w14:textFill>
            <w14:solidFill>
              <w14:schemeClr w14:val="tx1"/>
            </w14:solidFill>
          </w14:textFill>
        </w:rPr>
        <w:t xml:space="preserve">                                                                 </w:t>
      </w:r>
      <w:r>
        <w:rPr>
          <w:rStyle w:val="17"/>
          <w:rFonts w:hint="default"/>
          <w:color w:val="000000" w:themeColor="text1"/>
          <w:sz w:val="28"/>
          <w:szCs w:val="28"/>
          <w:lang w:val="en-US" w:bidi="ar"/>
          <w14:textFill>
            <w14:solidFill>
              <w14:schemeClr w14:val="tx1"/>
            </w14:solidFill>
          </w14:textFill>
        </w:rPr>
        <w:t xml:space="preserve">费率 </w:t>
      </w:r>
      <w:r>
        <w:rPr>
          <w:rFonts w:hint="eastAsia" w:ascii="Helvetica" w:hAnsi="Helvetica" w:cs="Helvetica"/>
          <w:color w:val="000000" w:themeColor="text1"/>
          <w:spacing w:val="8"/>
          <w:sz w:val="28"/>
          <w:szCs w:val="28"/>
          <w:shd w:val="clear" w:color="auto" w:fill="FFFFFF"/>
          <w14:textFill>
            <w14:solidFill>
              <w14:schemeClr w14:val="tx1"/>
            </w14:solidFill>
          </w14:textFill>
        </w:rPr>
        <w:t>‰</w:t>
      </w:r>
    </w:p>
    <w:tbl>
      <w:tblPr>
        <w:tblStyle w:val="9"/>
        <w:tblW w:w="14051" w:type="dxa"/>
        <w:jc w:val="center"/>
        <w:tblLayout w:type="fixed"/>
        <w:tblCellMar>
          <w:top w:w="0" w:type="dxa"/>
          <w:left w:w="0" w:type="dxa"/>
          <w:bottom w:w="0" w:type="dxa"/>
          <w:right w:w="0" w:type="dxa"/>
        </w:tblCellMar>
      </w:tblPr>
      <w:tblGrid>
        <w:gridCol w:w="436"/>
        <w:gridCol w:w="1356"/>
        <w:gridCol w:w="512"/>
        <w:gridCol w:w="4122"/>
        <w:gridCol w:w="567"/>
        <w:gridCol w:w="567"/>
        <w:gridCol w:w="851"/>
        <w:gridCol w:w="850"/>
        <w:gridCol w:w="1134"/>
        <w:gridCol w:w="992"/>
        <w:gridCol w:w="993"/>
        <w:gridCol w:w="992"/>
        <w:gridCol w:w="679"/>
      </w:tblGrid>
      <w:tr>
        <w:tblPrEx>
          <w:tblCellMar>
            <w:top w:w="0" w:type="dxa"/>
            <w:left w:w="0" w:type="dxa"/>
            <w:bottom w:w="0" w:type="dxa"/>
            <w:right w:w="0" w:type="dxa"/>
          </w:tblCellMar>
        </w:tblPrEx>
        <w:trPr>
          <w:trHeight w:val="306"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序号</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咨询项目名称</w:t>
            </w:r>
          </w:p>
        </w:tc>
        <w:tc>
          <w:tcPr>
            <w:tcW w:w="46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工作内容</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工程类型</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计费基础</w:t>
            </w: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造价金额（万元）</w:t>
            </w:r>
          </w:p>
        </w:tc>
      </w:tr>
      <w:tr>
        <w:tblPrEx>
          <w:tblCellMar>
            <w:top w:w="0" w:type="dxa"/>
            <w:left w:w="0" w:type="dxa"/>
            <w:bottom w:w="0" w:type="dxa"/>
            <w:right w:w="0" w:type="dxa"/>
          </w:tblCellMar>
        </w:tblPrEx>
        <w:trPr>
          <w:trHeight w:val="347"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46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200</w:t>
            </w:r>
            <w:r>
              <w:rPr>
                <w:rStyle w:val="18"/>
                <w:rFonts w:hint="eastAsia"/>
                <w:color w:val="000000" w:themeColor="text1"/>
                <w:lang w:val="en-US" w:bidi="ar"/>
                <w14:textFill>
                  <w14:solidFill>
                    <w14:schemeClr w14:val="tx1"/>
                  </w14:solidFill>
                </w14:textFill>
              </w:rPr>
              <w:t>（含）</w:t>
            </w:r>
            <w:r>
              <w:rPr>
                <w:rStyle w:val="19"/>
                <w:rFonts w:hint="default"/>
                <w:color w:val="000000" w:themeColor="text1"/>
                <w:lang w:val="en-US" w:bidi="ar"/>
                <w14:textFill>
                  <w14:solidFill>
                    <w14:schemeClr w14:val="tx1"/>
                  </w14:solidFill>
                </w14:textFill>
              </w:rPr>
              <w:t>以内</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rFonts w:hint="eastAsia"/>
                <w:color w:val="000000" w:themeColor="text1"/>
                <w:lang w:val="en-US" w:bidi="ar"/>
                <w14:textFill>
                  <w14:solidFill>
                    <w14:schemeClr w14:val="tx1"/>
                  </w14:solidFill>
                </w14:textFill>
              </w:rPr>
              <w:t>200-500（含）</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rFonts w:hint="eastAsia"/>
                <w:color w:val="000000" w:themeColor="text1"/>
                <w:lang w:val="en-US" w:bidi="ar"/>
                <w14:textFill>
                  <w14:solidFill>
                    <w14:schemeClr w14:val="tx1"/>
                  </w14:solidFill>
                </w14:textFill>
              </w:rPr>
              <w:t>500-</w:t>
            </w:r>
            <w:r>
              <w:rPr>
                <w:rStyle w:val="18"/>
                <w:color w:val="000000" w:themeColor="text1"/>
                <w:lang w:val="en-US" w:bidi="ar"/>
                <w14:textFill>
                  <w14:solidFill>
                    <w14:schemeClr w14:val="tx1"/>
                  </w14:solidFill>
                </w14:textFill>
              </w:rPr>
              <w:t>1000</w:t>
            </w:r>
            <w:r>
              <w:rPr>
                <w:rStyle w:val="18"/>
                <w:rFonts w:hint="eastAsia"/>
                <w:color w:val="000000" w:themeColor="text1"/>
                <w:lang w:val="en-US" w:bidi="ar"/>
                <w14:textFill>
                  <w14:solidFill>
                    <w14:schemeClr w14:val="tx1"/>
                  </w14:solidFill>
                </w14:textFill>
              </w:rPr>
              <w:t>（含）</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textAlignment w:val="center"/>
              <w:rPr>
                <w:rStyle w:val="18"/>
                <w:color w:val="000000" w:themeColor="text1"/>
                <w:lang w:val="en-US" w:bidi="ar"/>
                <w14:textFill>
                  <w14:solidFill>
                    <w14:schemeClr w14:val="tx1"/>
                  </w14:solidFill>
                </w14:textFill>
              </w:rPr>
            </w:pPr>
            <w:r>
              <w:rPr>
                <w:rStyle w:val="18"/>
                <w:rFonts w:hint="eastAsia"/>
                <w:color w:val="000000" w:themeColor="text1"/>
                <w:lang w:val="en-US" w:bidi="ar"/>
                <w14:textFill>
                  <w14:solidFill>
                    <w14:schemeClr w14:val="tx1"/>
                  </w14:solidFill>
                </w14:textFill>
              </w:rPr>
              <w:t>1000-</w:t>
            </w:r>
          </w:p>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3000</w:t>
            </w:r>
            <w:r>
              <w:rPr>
                <w:rStyle w:val="18"/>
                <w:rFonts w:hint="eastAsia"/>
                <w:color w:val="000000" w:themeColor="text1"/>
                <w:lang w:val="en-US" w:bidi="ar"/>
                <w14:textFill>
                  <w14:solidFill>
                    <w14:schemeClr w14:val="tx1"/>
                  </w14:solidFill>
                </w14:textFill>
              </w:rPr>
              <w:t>（含）</w:t>
            </w:r>
          </w:p>
        </w:tc>
        <w:tc>
          <w:tcPr>
            <w:tcW w:w="9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textAlignment w:val="center"/>
              <w:rPr>
                <w:rStyle w:val="18"/>
                <w:color w:val="000000" w:themeColor="text1"/>
                <w:lang w:val="en-US" w:bidi="ar"/>
                <w14:textFill>
                  <w14:solidFill>
                    <w14:schemeClr w14:val="tx1"/>
                  </w14:solidFill>
                </w14:textFill>
              </w:rPr>
            </w:pPr>
            <w:r>
              <w:rPr>
                <w:rStyle w:val="18"/>
                <w:color w:val="000000" w:themeColor="text1"/>
                <w:lang w:val="en-US" w:bidi="ar"/>
                <w14:textFill>
                  <w14:solidFill>
                    <w14:schemeClr w14:val="tx1"/>
                  </w14:solidFill>
                </w14:textFill>
              </w:rPr>
              <w:t>3</w:t>
            </w:r>
            <w:r>
              <w:rPr>
                <w:rStyle w:val="18"/>
                <w:rFonts w:hint="eastAsia"/>
                <w:color w:val="000000" w:themeColor="text1"/>
                <w:lang w:val="en-US" w:bidi="ar"/>
                <w14:textFill>
                  <w14:solidFill>
                    <w14:schemeClr w14:val="tx1"/>
                  </w14:solidFill>
                </w14:textFill>
              </w:rPr>
              <w:t>000-</w:t>
            </w:r>
          </w:p>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6000</w:t>
            </w:r>
            <w:r>
              <w:rPr>
                <w:rStyle w:val="18"/>
                <w:rFonts w:hint="eastAsia"/>
                <w:color w:val="000000" w:themeColor="text1"/>
                <w:lang w:val="en-US" w:bidi="ar"/>
                <w14:textFill>
                  <w14:solidFill>
                    <w14:schemeClr w14:val="tx1"/>
                  </w14:solidFill>
                </w14:textFill>
              </w:rPr>
              <w:t>（含）</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textAlignment w:val="center"/>
              <w:rPr>
                <w:rStyle w:val="18"/>
                <w:color w:val="000000" w:themeColor="text1"/>
                <w:lang w:val="en-US" w:bidi="ar"/>
                <w14:textFill>
                  <w14:solidFill>
                    <w14:schemeClr w14:val="tx1"/>
                  </w14:solidFill>
                </w14:textFill>
              </w:rPr>
            </w:pPr>
            <w:r>
              <w:rPr>
                <w:rStyle w:val="18"/>
                <w:color w:val="000000" w:themeColor="text1"/>
                <w:lang w:val="en-US" w:bidi="ar"/>
                <w14:textFill>
                  <w14:solidFill>
                    <w14:schemeClr w14:val="tx1"/>
                  </w14:solidFill>
                </w14:textFill>
              </w:rPr>
              <w:t>6</w:t>
            </w:r>
            <w:r>
              <w:rPr>
                <w:rStyle w:val="18"/>
                <w:rFonts w:hint="eastAsia"/>
                <w:color w:val="000000" w:themeColor="text1"/>
                <w:lang w:val="en-US" w:bidi="ar"/>
                <w14:textFill>
                  <w14:solidFill>
                    <w14:schemeClr w14:val="tx1"/>
                  </w14:solidFill>
                </w14:textFill>
              </w:rPr>
              <w:t>000-</w:t>
            </w:r>
          </w:p>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10000</w:t>
            </w:r>
            <w:r>
              <w:rPr>
                <w:rStyle w:val="18"/>
                <w:rFonts w:hint="eastAsia"/>
                <w:color w:val="000000" w:themeColor="text1"/>
                <w:lang w:val="en-US" w:bidi="ar"/>
                <w14:textFill>
                  <w14:solidFill>
                    <w14:schemeClr w14:val="tx1"/>
                  </w14:solidFill>
                </w14:textFill>
              </w:rPr>
              <w:t>（含）</w:t>
            </w:r>
          </w:p>
        </w:tc>
        <w:tc>
          <w:tcPr>
            <w:tcW w:w="6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rFonts w:hint="eastAsia"/>
                <w:color w:val="000000" w:themeColor="text1"/>
                <w:lang w:val="en-US" w:bidi="ar"/>
                <w14:textFill>
                  <w14:solidFill>
                    <w14:schemeClr w14:val="tx1"/>
                  </w14:solidFill>
                </w14:textFill>
              </w:rPr>
              <w:t>10000以上</w:t>
            </w:r>
          </w:p>
        </w:tc>
      </w:tr>
      <w:tr>
        <w:tblPrEx>
          <w:tblCellMar>
            <w:top w:w="0" w:type="dxa"/>
            <w:left w:w="0" w:type="dxa"/>
            <w:bottom w:w="0" w:type="dxa"/>
            <w:right w:w="0" w:type="dxa"/>
          </w:tblCellMar>
        </w:tblPrEx>
        <w:trPr>
          <w:trHeight w:val="1097" w:hRule="atLeast"/>
          <w:jc w:val="center"/>
        </w:trPr>
        <w:tc>
          <w:tcPr>
            <w:tcW w:w="436" w:type="dxa"/>
            <w:vMerge w:val="restart"/>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w:t>
            </w:r>
          </w:p>
        </w:tc>
        <w:tc>
          <w:tcPr>
            <w:tcW w:w="1356"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投资估算编制或审核</w:t>
            </w:r>
          </w:p>
        </w:tc>
        <w:tc>
          <w:tcPr>
            <w:tcW w:w="5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依据建设项目的特征、方案设计文件和相应的工程造价计价依据或类似工程指标检查资料的完整、合规性，编制投资估算； 审核估算编制依据的适用性，审核费用的准确性、全面性和合理性。</w:t>
            </w:r>
          </w:p>
        </w:tc>
        <w:tc>
          <w:tcPr>
            <w:tcW w:w="567"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估算价</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0.9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0.8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0.7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0.5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0.4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0.3 </w:t>
            </w:r>
          </w:p>
        </w:tc>
      </w:tr>
      <w:tr>
        <w:tblPrEx>
          <w:tblCellMar>
            <w:top w:w="0" w:type="dxa"/>
            <w:left w:w="0" w:type="dxa"/>
            <w:bottom w:w="0" w:type="dxa"/>
            <w:right w:w="0" w:type="dxa"/>
          </w:tblCellMar>
        </w:tblPrEx>
        <w:trPr>
          <w:trHeight w:val="373" w:hRule="atLeast"/>
          <w:jc w:val="center"/>
        </w:trPr>
        <w:tc>
          <w:tcPr>
            <w:tcW w:w="436"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412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计算或审核并分析主要技术经济指标；分析设计方案的优缺点，提出合理化建议。</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估算价</w:t>
            </w:r>
          </w:p>
        </w:tc>
        <w:tc>
          <w:tcPr>
            <w:tcW w:w="6491" w:type="dxa"/>
            <w:gridSpan w:val="7"/>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10%-30%</w:t>
            </w:r>
          </w:p>
        </w:tc>
      </w:tr>
      <w:tr>
        <w:tblPrEx>
          <w:tblCellMar>
            <w:top w:w="0" w:type="dxa"/>
            <w:left w:w="0" w:type="dxa"/>
            <w:bottom w:w="0" w:type="dxa"/>
            <w:right w:w="0" w:type="dxa"/>
          </w:tblCellMar>
        </w:tblPrEx>
        <w:trPr>
          <w:trHeight w:val="278"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2</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设计概算编制或审核</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建设项目的特征、初步设计文件和相应的工程造价计价依据或资料对建设项目概算总投资及其构成进行编制；审核概算编制依据的适用性，审核建筑安装工程费、工程建设其他费、预备费、建设期贷款利息等项目的准确性、全面性和合理性，分析概算反映的建设规模、建设标准、建设内容是否与初步设计方案及可研报告相符；不含工程量计算。</w:t>
            </w:r>
          </w:p>
        </w:tc>
        <w:tc>
          <w:tcPr>
            <w:tcW w:w="567"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概算价</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1.3</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9</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0.8 </w:t>
            </w:r>
          </w:p>
        </w:tc>
      </w:tr>
      <w:tr>
        <w:tblPrEx>
          <w:tblCellMar>
            <w:top w:w="0" w:type="dxa"/>
            <w:left w:w="0" w:type="dxa"/>
            <w:bottom w:w="0" w:type="dxa"/>
            <w:right w:w="0" w:type="dxa"/>
          </w:tblCellMar>
        </w:tblPrEx>
        <w:trPr>
          <w:trHeight w:val="466" w:hRule="atLeast"/>
          <w:jc w:val="center"/>
        </w:trPr>
        <w:tc>
          <w:tcPr>
            <w:tcW w:w="436"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5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512"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4122" w:type="dxa"/>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14:textFill>
                  <w14:solidFill>
                    <w14:schemeClr w14:val="tx1"/>
                  </w14:solidFill>
                </w14:textFill>
              </w:rPr>
              <w:t>计算工程量，计算或审核并分析主要技术经济指标；分析设计方案的优缺点，提出合理化建议。</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概算价</w:t>
            </w:r>
          </w:p>
        </w:tc>
        <w:tc>
          <w:tcPr>
            <w:tcW w:w="6491"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10%-30%</w:t>
            </w:r>
          </w:p>
        </w:tc>
      </w:tr>
      <w:tr>
        <w:tblPrEx>
          <w:tblCellMar>
            <w:top w:w="0" w:type="dxa"/>
            <w:left w:w="0" w:type="dxa"/>
            <w:bottom w:w="0" w:type="dxa"/>
            <w:right w:w="0" w:type="dxa"/>
          </w:tblCellMar>
        </w:tblPrEx>
        <w:trPr>
          <w:trHeight w:val="592" w:hRule="atLeast"/>
          <w:jc w:val="center"/>
        </w:trPr>
        <w:tc>
          <w:tcPr>
            <w:tcW w:w="43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3</w:t>
            </w:r>
          </w:p>
        </w:tc>
        <w:tc>
          <w:tcPr>
            <w:tcW w:w="135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设计方案优化</w:t>
            </w:r>
          </w:p>
        </w:tc>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方案设计阶段对不同方案进行造价测算并提供优化建议评估各项经济和技术，比选出投资资源最优配置的方案。</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优化</w:t>
            </w:r>
          </w:p>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节约额</w:t>
            </w:r>
          </w:p>
        </w:tc>
        <w:tc>
          <w:tcPr>
            <w:tcW w:w="64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469"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4</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施工图工程预算编制或审核</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根据施工图计算工程量，套用预算定额，编制或审核工程预算造价。</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预算价</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2.7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2.4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2.3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2.1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1.9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1.8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1.6 </w:t>
            </w:r>
          </w:p>
        </w:tc>
      </w:tr>
      <w:tr>
        <w:tblPrEx>
          <w:tblCellMar>
            <w:top w:w="0" w:type="dxa"/>
            <w:left w:w="0" w:type="dxa"/>
            <w:bottom w:w="0" w:type="dxa"/>
            <w:right w:w="0" w:type="dxa"/>
          </w:tblCellMar>
        </w:tblPrEx>
        <w:trPr>
          <w:trHeight w:val="683" w:hRule="atLeast"/>
          <w:jc w:val="center"/>
        </w:trPr>
        <w:tc>
          <w:tcPr>
            <w:tcW w:w="436"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412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计算或审核</w:t>
            </w:r>
            <w:r>
              <w:rPr>
                <w:color w:val="000000" w:themeColor="text1"/>
                <w:sz w:val="20"/>
                <w:szCs w:val="20"/>
                <w14:textFill>
                  <w14:solidFill>
                    <w14:schemeClr w14:val="tx1"/>
                  </w14:solidFill>
                </w14:textFill>
              </w:rPr>
              <w:t>分析主要技术经济指标；分析工程量、工程设计等变化风险，提出有效控制工程造价的建议</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与编制单位核对数量；调整或重新编制</w:t>
            </w:r>
            <w:r>
              <w:rPr>
                <w:rFonts w:hint="eastAsia"/>
                <w:color w:val="000000" w:themeColor="text1"/>
                <w:sz w:val="20"/>
                <w:szCs w:val="20"/>
                <w14:textFill>
                  <w14:solidFill>
                    <w14:schemeClr w14:val="tx1"/>
                  </w14:solidFill>
                </w14:textFill>
              </w:rPr>
              <w:t>施工图预算</w:t>
            </w:r>
            <w:r>
              <w:rPr>
                <w:color w:val="000000" w:themeColor="text1"/>
                <w:sz w:val="20"/>
                <w:szCs w:val="20"/>
                <w14:textFill>
                  <w14:solidFill>
                    <w14:schemeClr w14:val="tx1"/>
                  </w14:solidFill>
                </w14:textFill>
              </w:rPr>
              <w:t>。</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预算价</w:t>
            </w:r>
          </w:p>
        </w:tc>
        <w:tc>
          <w:tcPr>
            <w:tcW w:w="6491" w:type="dxa"/>
            <w:gridSpan w:val="7"/>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943"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5</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工程量清单及招标控制价的编制</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p>
            <w:pPr>
              <w:adjustRightInd w:val="0"/>
              <w:snapToGrid w:val="0"/>
              <w:spacing w:line="280" w:lineRule="exact"/>
              <w:jc w:val="center"/>
              <w:rPr>
                <w:color w:val="000000" w:themeColor="text1"/>
                <w:sz w:val="20"/>
                <w:szCs w:val="20"/>
                <w14:textFill>
                  <w14:solidFill>
                    <w14:schemeClr w14:val="tx1"/>
                  </w14:solidFill>
                </w14:textFill>
              </w:rPr>
            </w:pP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根据工程量清单计量规范计算工程量，按工程量计价规范编制或审核工程量清单， 包括工程量和特征描述，依据地勘资料、招标文件及补遗、招标图纸、现场情况、施工方案、市场价格信息、委托人自身管理水平及报价策略等，编制招标控制价。</w:t>
            </w:r>
          </w:p>
        </w:tc>
        <w:tc>
          <w:tcPr>
            <w:tcW w:w="567" w:type="dxa"/>
            <w:tcBorders>
              <w:top w:val="single" w:color="000000" w:sz="4" w:space="0"/>
              <w:left w:val="single" w:color="auto"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招标控制价</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3.0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2.8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2.6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2.4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2.2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1.9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1.8 </w:t>
            </w:r>
          </w:p>
        </w:tc>
      </w:tr>
      <w:tr>
        <w:tblPrEx>
          <w:tblCellMar>
            <w:top w:w="0" w:type="dxa"/>
            <w:left w:w="0" w:type="dxa"/>
            <w:bottom w:w="0" w:type="dxa"/>
            <w:right w:w="0" w:type="dxa"/>
          </w:tblCellMar>
        </w:tblPrEx>
        <w:trPr>
          <w:trHeight w:val="546"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412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计算并分析主要工程量指标；</w:t>
            </w:r>
            <w:r>
              <w:rPr>
                <w:color w:val="000000" w:themeColor="text1"/>
                <w:sz w:val="20"/>
                <w:szCs w:val="20"/>
                <w14:textFill>
                  <w14:solidFill>
                    <w14:schemeClr w14:val="tx1"/>
                  </w14:solidFill>
                </w14:textFill>
              </w:rPr>
              <w:t>分析工程量、工程设计等变化风险，提出有效控制工程造价的建议；调整或重新编制工程量清单。</w:t>
            </w:r>
          </w:p>
        </w:tc>
        <w:tc>
          <w:tcPr>
            <w:tcW w:w="567"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招标控制价</w:t>
            </w:r>
          </w:p>
        </w:tc>
        <w:tc>
          <w:tcPr>
            <w:tcW w:w="6491" w:type="dxa"/>
            <w:gridSpan w:val="7"/>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498"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6</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工程量清单及招标控制价的审核（核减另收费）</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p>
            <w:pPr>
              <w:adjustRightInd w:val="0"/>
              <w:snapToGrid w:val="0"/>
              <w:spacing w:line="280" w:lineRule="exact"/>
              <w:jc w:val="center"/>
              <w:rPr>
                <w:color w:val="000000" w:themeColor="text1"/>
                <w:sz w:val="20"/>
                <w:szCs w:val="20"/>
                <w14:textFill>
                  <w14:solidFill>
                    <w14:schemeClr w14:val="tx1"/>
                  </w14:solidFill>
                </w14:textFill>
              </w:rPr>
            </w:pPr>
          </w:p>
        </w:tc>
        <w:tc>
          <w:tcPr>
            <w:tcW w:w="4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根据工程量清单计量规范计算工程量，按工程量计价规范编制或审核工程量清单， 包括工程量和特征描述，依据地勘资料、招标文件及补遗、招标图纸、现场情况、施工方案、市场价格信息、委托人自身管理水平及报价策略等，审核招标控制价。</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送审造价</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2.5</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2.3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1.7</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772"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p>
        </w:tc>
        <w:tc>
          <w:tcPr>
            <w:tcW w:w="4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增)另收费</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r>
      <w:tr>
        <w:tblPrEx>
          <w:tblCellMar>
            <w:top w:w="0" w:type="dxa"/>
            <w:left w:w="0" w:type="dxa"/>
            <w:bottom w:w="0" w:type="dxa"/>
            <w:right w:w="0" w:type="dxa"/>
          </w:tblCellMar>
        </w:tblPrEx>
        <w:trPr>
          <w:trHeight w:val="745"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审核或计算分析主要技术经济指标；分析工程量、工程设计等变化风险，提出有效控制工程造价的建议</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与编制单位核对数量；调整或重新编制工程量清单。</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基本收费与核减另收费之和</w:t>
            </w: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646"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7</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工程结算编制</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依据发承包合同、变更文件等进行工程量价调整，编制工程结算造价。</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最终结算价</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2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3.0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2.8</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2.5</w:t>
            </w:r>
            <w:r>
              <w:rPr>
                <w:rFonts w:hint="eastAsia"/>
                <w:color w:val="000000" w:themeColor="text1"/>
                <w14:textFill>
                  <w14:solidFill>
                    <w14:schemeClr w14:val="tx1"/>
                  </w14:solidFill>
                </w14:textFill>
              </w:rPr>
              <w:t xml:space="preserve">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2.2</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962"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收集、整理工程结算基础资料、文件（如竣工图纸、施工记录、施工签证、索赔单、设计变更、现场环境、地质资料等）；</w:t>
            </w:r>
            <w:r>
              <w:rPr>
                <w:color w:val="000000" w:themeColor="text1"/>
                <w:sz w:val="20"/>
                <w:szCs w:val="20"/>
                <w14:textFill>
                  <w14:solidFill>
                    <w14:schemeClr w14:val="tx1"/>
                  </w14:solidFill>
                </w14:textFill>
              </w:rPr>
              <w:t>计算并分析主要工程经济指标；提出对工程成本管理的建议。</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最终结算价</w:t>
            </w: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416"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8</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工程结算审核</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（核减另收费）</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依据发承包合同及变更文件等，审核工程结算造价。</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送审造价</w:t>
            </w:r>
          </w:p>
        </w:tc>
        <w:tc>
          <w:tcPr>
            <w:tcW w:w="85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2.</w:t>
            </w:r>
            <w:r>
              <w:rPr>
                <w:rFonts w:ascii="等线" w:hAnsi="等线" w:eastAsia="等线"/>
                <w:color w:val="000000" w:themeColor="text1"/>
                <w14:textFill>
                  <w14:solidFill>
                    <w14:schemeClr w14:val="tx1"/>
                  </w14:solidFill>
                </w14:textFill>
              </w:rPr>
              <w:t>6</w:t>
            </w:r>
            <w:r>
              <w:rPr>
                <w:rFonts w:hint="eastAsia" w:ascii="等线" w:hAnsi="等线" w:eastAsia="等线"/>
                <w:color w:val="000000" w:themeColor="text1"/>
                <w14:textFill>
                  <w14:solidFill>
                    <w14:schemeClr w14:val="tx1"/>
                  </w14:solidFill>
                </w14:textFill>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2.</w:t>
            </w:r>
            <w:r>
              <w:rPr>
                <w:rFonts w:ascii="等线" w:hAnsi="等线" w:eastAsia="等线"/>
                <w:color w:val="000000" w:themeColor="text1"/>
                <w14:textFill>
                  <w14:solidFill>
                    <w14:schemeClr w14:val="tx1"/>
                  </w14:solidFill>
                </w14:textFill>
              </w:rPr>
              <w:t>4</w:t>
            </w:r>
            <w:r>
              <w:rPr>
                <w:rFonts w:hint="eastAsia" w:ascii="等线" w:hAnsi="等线" w:eastAsia="等线"/>
                <w:color w:val="000000" w:themeColor="text1"/>
                <w14:textFill>
                  <w14:solidFill>
                    <w14:schemeClr w14:val="tx1"/>
                  </w14:solidFill>
                </w14:textFill>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2.1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2.0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1.9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1.</w:t>
            </w:r>
            <w:r>
              <w:rPr>
                <w:rFonts w:ascii="等线" w:hAnsi="等线" w:eastAsia="等线"/>
                <w:color w:val="000000" w:themeColor="text1"/>
                <w14:textFill>
                  <w14:solidFill>
                    <w14:schemeClr w14:val="tx1"/>
                  </w14:solidFill>
                </w14:textFill>
              </w:rPr>
              <w:t>7</w:t>
            </w:r>
            <w:r>
              <w:rPr>
                <w:rFonts w:hint="eastAsia" w:ascii="等线" w:hAnsi="等线" w:eastAsia="等线"/>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1.</w:t>
            </w:r>
            <w:r>
              <w:rPr>
                <w:rFonts w:ascii="等线" w:hAnsi="等线" w:eastAsia="等线"/>
                <w:color w:val="000000" w:themeColor="text1"/>
                <w14:textFill>
                  <w14:solidFill>
                    <w14:schemeClr w14:val="tx1"/>
                  </w14:solidFill>
                </w14:textFill>
              </w:rPr>
              <w:t>5</w:t>
            </w:r>
            <w:r>
              <w:rPr>
                <w:rFonts w:hint="eastAsia" w:ascii="等线" w:hAnsi="等线" w:eastAsia="等线"/>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510"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412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增)另收费</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6491" w:type="dxa"/>
            <w:gridSpan w:val="7"/>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r>
      <w:tr>
        <w:tblPrEx>
          <w:tblCellMar>
            <w:top w:w="0" w:type="dxa"/>
            <w:left w:w="0" w:type="dxa"/>
            <w:bottom w:w="0" w:type="dxa"/>
            <w:right w:w="0" w:type="dxa"/>
          </w:tblCellMar>
        </w:tblPrEx>
        <w:trPr>
          <w:trHeight w:val="221"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审查及分析主要工程经济指标；对工程造价管理提出建议</w:t>
            </w:r>
            <w:r>
              <w:rPr>
                <w:rFonts w:hint="eastAsia"/>
                <w:color w:val="000000" w:themeColor="text1"/>
                <w:sz w:val="20"/>
                <w:szCs w:val="20"/>
                <w14:textFill>
                  <w14:solidFill>
                    <w14:schemeClr w14:val="tx1"/>
                  </w14:solidFill>
                </w14:textFill>
              </w:rPr>
              <w:t>。</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基本收费与核减另收费之和</w:t>
            </w:r>
          </w:p>
        </w:tc>
        <w:tc>
          <w:tcPr>
            <w:tcW w:w="6491" w:type="dxa"/>
            <w:gridSpan w:val="7"/>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292"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9</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竣工决算编制或审核</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依据工程结算成果文件和财务资料编制或审核竣工决算</w:t>
            </w:r>
          </w:p>
        </w:tc>
        <w:tc>
          <w:tcPr>
            <w:tcW w:w="5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项目总投资</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3.5 </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3.2 </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2.7 </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2.5 </w:t>
            </w:r>
          </w:p>
        </w:tc>
        <w:tc>
          <w:tcPr>
            <w:tcW w:w="9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2.0 </w:t>
            </w:r>
          </w:p>
        </w:tc>
        <w:tc>
          <w:tcPr>
            <w:tcW w:w="6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1.8 </w:t>
            </w:r>
          </w:p>
        </w:tc>
      </w:tr>
      <w:tr>
        <w:tblPrEx>
          <w:tblCellMar>
            <w:top w:w="0" w:type="dxa"/>
            <w:left w:w="0" w:type="dxa"/>
            <w:bottom w:w="0" w:type="dxa"/>
            <w:right w:w="0" w:type="dxa"/>
          </w:tblCellMar>
        </w:tblPrEx>
        <w:trPr>
          <w:trHeight w:val="221" w:hRule="atLeast"/>
          <w:jc w:val="center"/>
        </w:trPr>
        <w:tc>
          <w:tcPr>
            <w:tcW w:w="436"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41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p>
        </w:tc>
        <w:tc>
          <w:tcPr>
            <w:tcW w:w="56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核减另收费</w:t>
            </w:r>
          </w:p>
        </w:tc>
        <w:tc>
          <w:tcPr>
            <w:tcW w:w="56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节约金额</w:t>
            </w: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5%</w:t>
            </w:r>
          </w:p>
        </w:tc>
      </w:tr>
      <w:tr>
        <w:tblPrEx>
          <w:tblCellMar>
            <w:top w:w="0" w:type="dxa"/>
            <w:left w:w="0" w:type="dxa"/>
            <w:bottom w:w="0" w:type="dxa"/>
            <w:right w:w="0" w:type="dxa"/>
          </w:tblCellMar>
        </w:tblPrEx>
        <w:trPr>
          <w:trHeight w:val="369"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10</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全过程造价</w:t>
            </w:r>
          </w:p>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咨询（不含人员驻场费用）</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前期咨询、投资经济分析、估算编制、概算编制、预算编制、制定造价控制、资金使用计划的实施方案，合同价款咨询（包括合同分析、合同交底、合同变更管理工作），施工阶段造价风险分析，审核工程预付款和期中结算及其价款支付，工程变更、签证及索赔管理，材料、设备的询价，提供核价建议，工程造价动态管理，审核及汇总过程分阶段工程结算，完成竣工结算审核，工程技术经济指标分析。</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建设工程（A型</w:t>
            </w:r>
            <w:r>
              <w:rPr>
                <w:color w:val="000000" w:themeColor="text1"/>
                <w:sz w:val="16"/>
                <w:szCs w:val="16"/>
                <w:lang w:val="en-US" w:bidi="ar"/>
                <w14:textFill>
                  <w14:solidFill>
                    <w14:schemeClr w14:val="tx1"/>
                  </w14:solidFill>
                </w14:textFill>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项目投资概算额</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10.2</w:t>
            </w:r>
            <w:r>
              <w:rPr>
                <w:rFonts w:hint="eastAsia"/>
                <w:color w:val="000000" w:themeColor="text1"/>
                <w14:textFill>
                  <w14:solidFill>
                    <w14:schemeClr w14:val="tx1"/>
                  </w14:solidFill>
                </w14:textFill>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9.6</w:t>
            </w:r>
            <w:r>
              <w:rPr>
                <w:rFonts w:hint="eastAsia"/>
                <w:color w:val="000000" w:themeColor="text1"/>
                <w14:textFill>
                  <w14:solidFill>
                    <w14:schemeClr w14:val="tx1"/>
                  </w14:solidFill>
                </w14:textFill>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9.0</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8.4</w:t>
            </w:r>
            <w:r>
              <w:rPr>
                <w:rFonts w:hint="eastAsia"/>
                <w:color w:val="000000" w:themeColor="text1"/>
                <w14:textFill>
                  <w14:solidFill>
                    <w14:schemeClr w14:val="tx1"/>
                  </w14:solidFill>
                </w14:textFill>
              </w:rPr>
              <w:t xml:space="preserve">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7.8</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7.2</w:t>
            </w:r>
            <w:r>
              <w:rPr>
                <w:rFonts w:hint="eastAsia"/>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6.6</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396"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p>
        </w:tc>
        <w:tc>
          <w:tcPr>
            <w:tcW w:w="4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w:t>
            </w:r>
            <w:r>
              <w:rPr>
                <w:color w:val="000000" w:themeColor="text1"/>
                <w:sz w:val="16"/>
                <w:szCs w:val="16"/>
                <w:lang w:val="en-US" w:bidi="ar"/>
                <w14:textFill>
                  <w14:solidFill>
                    <w14:schemeClr w14:val="tx1"/>
                  </w14:solidFill>
                </w14:textFill>
              </w:rPr>
              <w:t>B</w:t>
            </w:r>
            <w:r>
              <w:rPr>
                <w:rFonts w:hint="eastAsia"/>
                <w:color w:val="000000" w:themeColor="text1"/>
                <w:sz w:val="16"/>
                <w:szCs w:val="16"/>
                <w:lang w:val="en-US" w:bidi="ar"/>
                <w14:textFill>
                  <w14:solidFill>
                    <w14:schemeClr w14:val="tx1"/>
                  </w14:solidFill>
                </w14:textFill>
              </w:rPr>
              <w:t>型</w:t>
            </w:r>
            <w:r>
              <w:rPr>
                <w:color w:val="000000" w:themeColor="text1"/>
                <w:sz w:val="16"/>
                <w:szCs w:val="16"/>
                <w:lang w:val="en-US" w:bidi="ar"/>
                <w14:textFill>
                  <w14:solidFill>
                    <w14:schemeClr w14:val="tx1"/>
                  </w14:solidFill>
                </w14:textFill>
              </w:rPr>
              <w:t>）</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9.6</w:t>
            </w:r>
            <w:r>
              <w:rPr>
                <w:rFonts w:hint="eastAsia"/>
                <w:color w:val="000000" w:themeColor="text1"/>
                <w14:textFill>
                  <w14:solidFill>
                    <w14:schemeClr w14:val="tx1"/>
                  </w14:solidFill>
                </w14:textFill>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.0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8.4</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7.8</w:t>
            </w:r>
            <w:r>
              <w:rPr>
                <w:rFonts w:hint="eastAsia"/>
                <w:color w:val="000000" w:themeColor="text1"/>
                <w14:textFill>
                  <w14:solidFill>
                    <w14:schemeClr w14:val="tx1"/>
                  </w14:solidFill>
                </w14:textFill>
              </w:rPr>
              <w:t xml:space="preserve">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7.2</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6.6</w:t>
            </w:r>
            <w:r>
              <w:rPr>
                <w:rFonts w:hint="eastAsia"/>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6.0</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37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p>
        </w:tc>
        <w:tc>
          <w:tcPr>
            <w:tcW w:w="4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w:t>
            </w:r>
            <w:r>
              <w:rPr>
                <w:color w:val="000000" w:themeColor="text1"/>
                <w:sz w:val="16"/>
                <w:szCs w:val="16"/>
                <w:lang w:val="en-US" w:bidi="ar"/>
                <w14:textFill>
                  <w14:solidFill>
                    <w14:schemeClr w14:val="tx1"/>
                  </w14:solidFill>
                </w14:textFill>
              </w:rPr>
              <w:t>C</w:t>
            </w:r>
            <w:r>
              <w:rPr>
                <w:rFonts w:hint="eastAsia"/>
                <w:color w:val="000000" w:themeColor="text1"/>
                <w:sz w:val="16"/>
                <w:szCs w:val="16"/>
                <w:lang w:val="en-US" w:bidi="ar"/>
                <w14:textFill>
                  <w14:solidFill>
                    <w14:schemeClr w14:val="tx1"/>
                  </w14:solidFill>
                </w14:textFill>
              </w:rPr>
              <w:t>型</w:t>
            </w:r>
            <w:r>
              <w:rPr>
                <w:color w:val="000000" w:themeColor="text1"/>
                <w:sz w:val="16"/>
                <w:szCs w:val="16"/>
                <w:lang w:val="en-US" w:bidi="ar"/>
                <w14:textFill>
                  <w14:solidFill>
                    <w14:schemeClr w14:val="tx1"/>
                  </w14:solidFill>
                </w14:textFill>
              </w:rPr>
              <w:t>）</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9.0</w:t>
            </w:r>
            <w:r>
              <w:rPr>
                <w:rFonts w:hint="eastAsia"/>
                <w:color w:val="000000" w:themeColor="text1"/>
                <w14:textFill>
                  <w14:solidFill>
                    <w14:schemeClr w14:val="tx1"/>
                  </w14:solidFill>
                </w14:textFill>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8.4</w:t>
            </w:r>
            <w:r>
              <w:rPr>
                <w:rFonts w:hint="eastAsia"/>
                <w:color w:val="000000" w:themeColor="text1"/>
                <w14:textFill>
                  <w14:solidFill>
                    <w14:schemeClr w14:val="tx1"/>
                  </w14:solidFill>
                </w14:textFill>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7.8</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7.2</w:t>
            </w:r>
            <w:r>
              <w:rPr>
                <w:rFonts w:hint="eastAsia"/>
                <w:color w:val="000000" w:themeColor="text1"/>
                <w14:textFill>
                  <w14:solidFill>
                    <w14:schemeClr w14:val="tx1"/>
                  </w14:solidFill>
                </w14:textFill>
              </w:rPr>
              <w:t xml:space="preserve">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6.6</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6.0</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5.4</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352" w:hRule="atLeast"/>
          <w:jc w:val="center"/>
        </w:trPr>
        <w:tc>
          <w:tcPr>
            <w:tcW w:w="436" w:type="dxa"/>
            <w:vMerge w:val="continue"/>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56"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512"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p>
        </w:tc>
        <w:tc>
          <w:tcPr>
            <w:tcW w:w="41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w:t>
            </w:r>
            <w:r>
              <w:rPr>
                <w:color w:val="000000" w:themeColor="text1"/>
                <w:sz w:val="16"/>
                <w:szCs w:val="16"/>
                <w:lang w:val="en-US" w:bidi="ar"/>
                <w14:textFill>
                  <w14:solidFill>
                    <w14:schemeClr w14:val="tx1"/>
                  </w14:solidFill>
                </w14:textFill>
              </w:rPr>
              <w:t>D</w:t>
            </w:r>
            <w:r>
              <w:rPr>
                <w:rFonts w:hint="eastAsia"/>
                <w:color w:val="000000" w:themeColor="text1"/>
                <w:sz w:val="16"/>
                <w:szCs w:val="16"/>
                <w:lang w:val="en-US" w:bidi="ar"/>
                <w14:textFill>
                  <w14:solidFill>
                    <w14:schemeClr w14:val="tx1"/>
                  </w14:solidFill>
                </w14:textFill>
              </w:rPr>
              <w:t>型</w:t>
            </w:r>
            <w:r>
              <w:rPr>
                <w:color w:val="000000" w:themeColor="text1"/>
                <w:sz w:val="16"/>
                <w:szCs w:val="16"/>
                <w:lang w:val="en-US" w:bidi="ar"/>
                <w14:textFill>
                  <w14:solidFill>
                    <w14:schemeClr w14:val="tx1"/>
                  </w14:solidFill>
                </w14:textFill>
              </w:rPr>
              <w:t>）</w:t>
            </w:r>
          </w:p>
        </w:tc>
        <w:tc>
          <w:tcPr>
            <w:tcW w:w="567" w:type="dxa"/>
            <w:vMerge w:val="continue"/>
            <w:tcBorders>
              <w:top w:val="single" w:color="auto" w:sz="4" w:space="0"/>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8.4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7.8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7.2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6.6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6.0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5.4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 xml:space="preserve">4.8 </w:t>
            </w:r>
          </w:p>
        </w:tc>
      </w:tr>
      <w:tr>
        <w:tblPrEx>
          <w:tblCellMar>
            <w:top w:w="0" w:type="dxa"/>
            <w:left w:w="0" w:type="dxa"/>
            <w:bottom w:w="0" w:type="dxa"/>
            <w:right w:w="0" w:type="dxa"/>
          </w:tblCellMar>
        </w:tblPrEx>
        <w:trPr>
          <w:trHeight w:val="453" w:hRule="atLeast"/>
          <w:jc w:val="center"/>
        </w:trPr>
        <w:tc>
          <w:tcPr>
            <w:tcW w:w="436"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lang w:val="en-US"/>
                <w14:textFill>
                  <w14:solidFill>
                    <w14:schemeClr w14:val="tx1"/>
                  </w14:solidFill>
                </w14:textFill>
              </w:rPr>
            </w:pPr>
          </w:p>
        </w:tc>
        <w:tc>
          <w:tcPr>
            <w:tcW w:w="412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jc w:val="center"/>
              <w:rPr>
                <w:color w:val="000000" w:themeColor="text1"/>
                <w:sz w:val="20"/>
                <w:szCs w:val="20"/>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增)另收费</w:t>
            </w: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lang w:val="en-US"/>
                <w14:textFill>
                  <w14:solidFill>
                    <w14:schemeClr w14:val="tx1"/>
                  </w14:solidFill>
                </w14:textFill>
              </w:rPr>
            </w:pPr>
            <w:r>
              <w:rPr>
                <w:rFonts w:hint="eastAsia"/>
                <w:color w:val="000000" w:themeColor="text1"/>
                <w:sz w:val="20"/>
                <w:szCs w:val="20"/>
                <w:lang w:val="en-US"/>
                <w14:textFill>
                  <w14:solidFill>
                    <w14:schemeClr w14:val="tx1"/>
                  </w14:solidFill>
                </w14:textFill>
              </w:rPr>
              <w:t>建设工程</w:t>
            </w:r>
          </w:p>
        </w:tc>
        <w:tc>
          <w:tcPr>
            <w:tcW w:w="567"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6491" w:type="dxa"/>
            <w:gridSpan w:val="7"/>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r>
      <w:tr>
        <w:tblPrEx>
          <w:tblCellMar>
            <w:top w:w="0" w:type="dxa"/>
            <w:left w:w="0" w:type="dxa"/>
            <w:bottom w:w="0" w:type="dxa"/>
            <w:right w:w="0" w:type="dxa"/>
          </w:tblCellMar>
        </w:tblPrEx>
        <w:trPr>
          <w:trHeight w:val="364" w:hRule="atLeast"/>
          <w:jc w:val="center"/>
        </w:trPr>
        <w:tc>
          <w:tcPr>
            <w:tcW w:w="436"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11.1</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8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造价咨询分项服务</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top"/>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auto" w:sz="4" w:space="0"/>
              <w:left w:val="single" w:color="auto" w:sz="4" w:space="0"/>
              <w:right w:val="single" w:color="auto" w:sz="4" w:space="0"/>
            </w:tcBorders>
            <w:shd w:val="clear" w:color="auto" w:fill="auto"/>
          </w:tcPr>
          <w:p>
            <w:pPr>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招标文件审核、投标文件分析、施工阶段风险分析、编制资金使用计划</w:t>
            </w:r>
          </w:p>
        </w:tc>
        <w:tc>
          <w:tcPr>
            <w:tcW w:w="567" w:type="dxa"/>
            <w:tcBorders>
              <w:top w:val="single" w:color="auto" w:sz="4" w:space="0"/>
              <w:left w:val="single" w:color="auto" w:sz="4" w:space="0"/>
              <w:right w:val="nil"/>
            </w:tcBorders>
            <w:shd w:val="clear" w:color="auto" w:fill="FFFFFF"/>
            <w:noWrap/>
            <w:tcMar>
              <w:top w:w="15" w:type="dxa"/>
              <w:left w:w="15" w:type="dxa"/>
              <w:right w:w="15" w:type="dxa"/>
            </w:tcMar>
            <w:vAlign w:val="center"/>
          </w:tcPr>
          <w:p>
            <w:pPr>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000000"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概算价</w:t>
            </w:r>
          </w:p>
        </w:tc>
        <w:tc>
          <w:tcPr>
            <w:tcW w:w="851"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1.3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1.0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0.9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0.8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0.7 </w:t>
            </w:r>
          </w:p>
        </w:tc>
      </w:tr>
      <w:tr>
        <w:tblPrEx>
          <w:tblCellMar>
            <w:top w:w="0" w:type="dxa"/>
            <w:left w:w="0" w:type="dxa"/>
            <w:bottom w:w="0" w:type="dxa"/>
            <w:right w:w="0" w:type="dxa"/>
          </w:tblCellMar>
        </w:tblPrEx>
        <w:trPr>
          <w:trHeight w:val="446"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11.2</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合同管理（包括与造价相关内容的合同分析、合同交底）</w:t>
            </w:r>
          </w:p>
        </w:tc>
        <w:tc>
          <w:tcPr>
            <w:tcW w:w="567" w:type="dxa"/>
            <w:tcBorders>
              <w:top w:val="single" w:color="auto"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合同价</w:t>
            </w:r>
          </w:p>
        </w:tc>
        <w:tc>
          <w:tcPr>
            <w:tcW w:w="851"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1.0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0.8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0.5 </w:t>
            </w:r>
          </w:p>
        </w:tc>
      </w:tr>
      <w:tr>
        <w:tblPrEx>
          <w:tblCellMar>
            <w:top w:w="0" w:type="dxa"/>
            <w:left w:w="0" w:type="dxa"/>
            <w:bottom w:w="0" w:type="dxa"/>
            <w:right w:w="0" w:type="dxa"/>
          </w:tblCellMar>
        </w:tblPrEx>
        <w:trPr>
          <w:trHeight w:val="206"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11.3</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工程进度款审核（含预付款、安全费）</w:t>
            </w:r>
          </w:p>
        </w:tc>
        <w:tc>
          <w:tcPr>
            <w:tcW w:w="567" w:type="dxa"/>
            <w:tcBorders>
              <w:top w:val="nil"/>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nil"/>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合同价</w:t>
            </w:r>
          </w:p>
        </w:tc>
        <w:tc>
          <w:tcPr>
            <w:tcW w:w="8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1.3 </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1.1 </w:t>
            </w:r>
          </w:p>
        </w:tc>
        <w:tc>
          <w:tcPr>
            <w:tcW w:w="9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0.9 </w:t>
            </w:r>
          </w:p>
        </w:tc>
        <w:tc>
          <w:tcPr>
            <w:tcW w:w="9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0.8 </w:t>
            </w:r>
          </w:p>
        </w:tc>
        <w:tc>
          <w:tcPr>
            <w:tcW w:w="9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0.7 </w:t>
            </w:r>
          </w:p>
        </w:tc>
        <w:tc>
          <w:tcPr>
            <w:tcW w:w="6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0.6 </w:t>
            </w:r>
          </w:p>
        </w:tc>
      </w:tr>
      <w:tr>
        <w:tblPrEx>
          <w:tblCellMar>
            <w:top w:w="0" w:type="dxa"/>
            <w:left w:w="0" w:type="dxa"/>
            <w:bottom w:w="0" w:type="dxa"/>
            <w:right w:w="0" w:type="dxa"/>
          </w:tblCellMar>
        </w:tblPrEx>
        <w:trPr>
          <w:trHeight w:val="380"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11.4</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p>
        </w:tc>
        <w:tc>
          <w:tcPr>
            <w:tcW w:w="412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工程变更（签证）管理（含变更预评估、变更价款审核等）、动态管理、工程索赔管理</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1.9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1.7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1.1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1.0 </w:t>
            </w:r>
          </w:p>
        </w:tc>
      </w:tr>
      <w:tr>
        <w:tblPrEx>
          <w:tblCellMar>
            <w:top w:w="0" w:type="dxa"/>
            <w:left w:w="0" w:type="dxa"/>
            <w:bottom w:w="0" w:type="dxa"/>
            <w:right w:w="0" w:type="dxa"/>
          </w:tblCellMar>
        </w:tblPrEx>
        <w:trPr>
          <w:trHeight w:val="249"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11.5</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p>
        </w:tc>
        <w:tc>
          <w:tcPr>
            <w:tcW w:w="412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分段结算（基本费）</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送审价</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0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2.8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2.5</w:t>
            </w:r>
            <w:r>
              <w:rPr>
                <w:rFonts w:hint="eastAsia"/>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2.4</w:t>
            </w:r>
            <w:r>
              <w:rPr>
                <w:rFonts w:hint="eastAsia"/>
                <w:color w:val="000000" w:themeColor="text1"/>
                <w14:textFill>
                  <w14:solidFill>
                    <w14:schemeClr w14:val="tx1"/>
                  </w14:solidFill>
                </w14:textFill>
              </w:rPr>
              <w:t xml:space="preserve">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2.3</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1.9</w:t>
            </w:r>
          </w:p>
        </w:tc>
      </w:tr>
      <w:tr>
        <w:tblPrEx>
          <w:tblCellMar>
            <w:top w:w="0" w:type="dxa"/>
            <w:left w:w="0" w:type="dxa"/>
            <w:bottom w:w="0" w:type="dxa"/>
            <w:right w:w="0" w:type="dxa"/>
          </w:tblCellMar>
        </w:tblPrEx>
        <w:trPr>
          <w:trHeight w:val="570"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11.6</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p>
        </w:tc>
        <w:tc>
          <w:tcPr>
            <w:tcW w:w="412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分段结算（核减与核增另收费）</w:t>
            </w: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6491" w:type="dxa"/>
            <w:gridSpan w:val="7"/>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r>
      <w:tr>
        <w:tblPrEx>
          <w:tblCellMar>
            <w:top w:w="0" w:type="dxa"/>
            <w:left w:w="0" w:type="dxa"/>
            <w:bottom w:w="0" w:type="dxa"/>
            <w:right w:w="0" w:type="dxa"/>
          </w:tblCellMar>
        </w:tblPrEx>
        <w:trPr>
          <w:trHeight w:val="320"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11.7</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材料（设备）询价</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材料价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1.3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1.1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1.0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0.9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0.8 </w:t>
            </w:r>
          </w:p>
        </w:tc>
      </w:tr>
      <w:tr>
        <w:tblPrEx>
          <w:tblCellMar>
            <w:top w:w="0" w:type="dxa"/>
            <w:left w:w="0" w:type="dxa"/>
            <w:bottom w:w="0" w:type="dxa"/>
            <w:right w:w="0" w:type="dxa"/>
          </w:tblCellMar>
        </w:tblPrEx>
        <w:trPr>
          <w:trHeight w:val="489"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11.8</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配合完成竣工结算编制（或审核）、工程技术经济指标分析</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结算价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1.6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1.1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1.0 </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0.9 </w:t>
            </w:r>
          </w:p>
        </w:tc>
      </w:tr>
      <w:tr>
        <w:tblPrEx>
          <w:tblCellMar>
            <w:top w:w="0" w:type="dxa"/>
            <w:left w:w="0" w:type="dxa"/>
            <w:bottom w:w="0" w:type="dxa"/>
            <w:right w:w="0" w:type="dxa"/>
          </w:tblCellMar>
        </w:tblPrEx>
        <w:trPr>
          <w:trHeight w:val="347" w:hRule="atLeast"/>
          <w:jc w:val="center"/>
        </w:trPr>
        <w:tc>
          <w:tcPr>
            <w:tcW w:w="436"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12</w:t>
            </w:r>
          </w:p>
        </w:tc>
        <w:tc>
          <w:tcPr>
            <w:tcW w:w="1356"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工程结算复审</w:t>
            </w:r>
          </w:p>
        </w:tc>
        <w:tc>
          <w:tcPr>
            <w:tcW w:w="51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依据发承包招投标文件、合同、签证、设计变更等文件资料，复审工程结算造价。</w:t>
            </w:r>
          </w:p>
        </w:tc>
        <w:tc>
          <w:tcPr>
            <w:tcW w:w="56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67" w:type="dxa"/>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送审价</w:t>
            </w:r>
          </w:p>
        </w:tc>
        <w:tc>
          <w:tcPr>
            <w:tcW w:w="85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2.</w:t>
            </w:r>
            <w:r>
              <w:rPr>
                <w:rFonts w:ascii="等线" w:hAnsi="等线" w:eastAsia="等线"/>
                <w:color w:val="000000" w:themeColor="text1"/>
                <w14:textFill>
                  <w14:solidFill>
                    <w14:schemeClr w14:val="tx1"/>
                  </w14:solidFill>
                </w14:textFill>
              </w:rPr>
              <w:t>9</w:t>
            </w:r>
            <w:r>
              <w:rPr>
                <w:rFonts w:hint="eastAsia" w:ascii="等线" w:hAnsi="等线" w:eastAsia="等线"/>
                <w:color w:val="000000" w:themeColor="text1"/>
                <w14:textFill>
                  <w14:solidFill>
                    <w14:schemeClr w14:val="tx1"/>
                  </w14:solidFill>
                </w14:textFill>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2.</w:t>
            </w:r>
            <w:r>
              <w:rPr>
                <w:rFonts w:ascii="等线" w:hAnsi="等线" w:eastAsia="等线"/>
                <w:color w:val="000000" w:themeColor="text1"/>
                <w14:textFill>
                  <w14:solidFill>
                    <w14:schemeClr w14:val="tx1"/>
                  </w14:solidFill>
                </w14:textFill>
              </w:rPr>
              <w:t>7</w:t>
            </w:r>
            <w:r>
              <w:rPr>
                <w:rFonts w:hint="eastAsia" w:ascii="等线" w:hAnsi="等线" w:eastAsia="等线"/>
                <w:color w:val="000000" w:themeColor="text1"/>
                <w14:textFill>
                  <w14:solidFill>
                    <w14:schemeClr w14:val="tx1"/>
                  </w14:solidFill>
                </w14:textFill>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2.</w:t>
            </w:r>
            <w:r>
              <w:rPr>
                <w:rFonts w:ascii="等线" w:hAnsi="等线" w:eastAsia="等线"/>
                <w:color w:val="000000" w:themeColor="text1"/>
                <w14:textFill>
                  <w14:solidFill>
                    <w14:schemeClr w14:val="tx1"/>
                  </w14:solidFill>
                </w14:textFill>
              </w:rPr>
              <w:t>4</w:t>
            </w:r>
            <w:r>
              <w:rPr>
                <w:rFonts w:hint="eastAsia" w:ascii="等线" w:hAnsi="等线" w:eastAsia="等线"/>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2.</w:t>
            </w:r>
            <w:r>
              <w:rPr>
                <w:rFonts w:ascii="等线" w:hAnsi="等线" w:eastAsia="等线"/>
                <w:color w:val="000000" w:themeColor="text1"/>
                <w14:textFill>
                  <w14:solidFill>
                    <w14:schemeClr w14:val="tx1"/>
                  </w14:solidFill>
                </w14:textFill>
              </w:rPr>
              <w:t>3</w:t>
            </w:r>
            <w:r>
              <w:rPr>
                <w:rFonts w:hint="eastAsia" w:ascii="等线" w:hAnsi="等线" w:eastAsia="等线"/>
                <w:color w:val="000000" w:themeColor="text1"/>
                <w14:textFill>
                  <w14:solidFill>
                    <w14:schemeClr w14:val="tx1"/>
                  </w14:solidFill>
                </w14:textFill>
              </w:rPr>
              <w:t xml:space="preserve"> </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等线" w:hAnsi="等线" w:eastAsia="等线"/>
                <w:color w:val="000000" w:themeColor="text1"/>
                <w14:textFill>
                  <w14:solidFill>
                    <w14:schemeClr w14:val="tx1"/>
                  </w14:solidFill>
                </w14:textFill>
              </w:rPr>
              <w:t>2.2</w:t>
            </w:r>
            <w:r>
              <w:rPr>
                <w:rFonts w:hint="eastAsia" w:ascii="等线" w:hAnsi="等线" w:eastAsia="等线"/>
                <w:color w:val="000000" w:themeColor="text1"/>
                <w14:textFill>
                  <w14:solidFill>
                    <w14:schemeClr w14:val="tx1"/>
                  </w14:solidFill>
                </w14:textFill>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等线" w:hAnsi="等线" w:eastAsia="等线"/>
                <w:color w:val="000000" w:themeColor="text1"/>
                <w14:textFill>
                  <w14:solidFill>
                    <w14:schemeClr w14:val="tx1"/>
                  </w14:solidFill>
                </w14:textFill>
              </w:rPr>
              <w:t>2.0</w:t>
            </w:r>
            <w:r>
              <w:rPr>
                <w:rFonts w:hint="eastAsia" w:ascii="等线" w:hAnsi="等线" w:eastAsia="等线"/>
                <w:color w:val="000000" w:themeColor="text1"/>
                <w14:textFill>
                  <w14:solidFill>
                    <w14:schemeClr w14:val="tx1"/>
                  </w14:solidFill>
                </w14:textFill>
              </w:rPr>
              <w:t xml:space="preserve"> </w:t>
            </w:r>
          </w:p>
        </w:tc>
        <w:tc>
          <w:tcPr>
            <w:tcW w:w="6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等线" w:hAnsi="等线" w:eastAsia="等线"/>
                <w:color w:val="000000" w:themeColor="text1"/>
                <w14:textFill>
                  <w14:solidFill>
                    <w14:schemeClr w14:val="tx1"/>
                  </w14:solidFill>
                </w14:textFill>
              </w:rPr>
              <w:t>1.</w:t>
            </w:r>
            <w:r>
              <w:rPr>
                <w:rFonts w:ascii="等线" w:hAnsi="等线" w:eastAsia="等线"/>
                <w:color w:val="000000" w:themeColor="text1"/>
                <w14:textFill>
                  <w14:solidFill>
                    <w14:schemeClr w14:val="tx1"/>
                  </w14:solidFill>
                </w14:textFill>
              </w:rPr>
              <w:t>8</w:t>
            </w:r>
            <w:r>
              <w:rPr>
                <w:rFonts w:hint="eastAsia" w:ascii="等线" w:hAnsi="等线" w:eastAsia="等线"/>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347" w:hRule="atLeast"/>
          <w:jc w:val="center"/>
        </w:trPr>
        <w:tc>
          <w:tcPr>
            <w:tcW w:w="436"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4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80" w:lineRule="exact"/>
              <w:rPr>
                <w:color w:val="000000" w:themeColor="text1"/>
                <w:sz w:val="20"/>
                <w:szCs w:val="20"/>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核减另收费</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(增)额总额</w:t>
            </w:r>
          </w:p>
        </w:tc>
        <w:tc>
          <w:tcPr>
            <w:tcW w:w="6491"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r>
      <w:tr>
        <w:tblPrEx>
          <w:tblCellMar>
            <w:top w:w="0" w:type="dxa"/>
            <w:left w:w="0" w:type="dxa"/>
            <w:bottom w:w="0" w:type="dxa"/>
            <w:right w:w="0" w:type="dxa"/>
          </w:tblCellMar>
        </w:tblPrEx>
        <w:trPr>
          <w:trHeight w:val="417" w:hRule="atLeast"/>
          <w:jc w:val="center"/>
        </w:trPr>
        <w:tc>
          <w:tcPr>
            <w:tcW w:w="43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13</w:t>
            </w:r>
          </w:p>
        </w:tc>
        <w:tc>
          <w:tcPr>
            <w:tcW w:w="13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钢筋及预埋件计算</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适用于单独委托计算钢筋及预埋件。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实际吨数</w:t>
            </w:r>
          </w:p>
        </w:tc>
        <w:tc>
          <w:tcPr>
            <w:tcW w:w="64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6元 / 吨</w:t>
            </w:r>
          </w:p>
        </w:tc>
      </w:tr>
      <w:tr>
        <w:tblPrEx>
          <w:tblCellMar>
            <w:top w:w="0" w:type="dxa"/>
            <w:left w:w="0" w:type="dxa"/>
            <w:bottom w:w="0" w:type="dxa"/>
            <w:right w:w="0" w:type="dxa"/>
          </w:tblCellMar>
        </w:tblPrEx>
        <w:trPr>
          <w:trHeight w:val="709" w:hRule="atLeast"/>
          <w:jc w:val="center"/>
        </w:trPr>
        <w:tc>
          <w:tcPr>
            <w:tcW w:w="43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工程造价鉴定</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司法仲裁委托的对纠纷项目的工程造价以及由此延伸而引起的经济问题进行鉴别和判断，并提供鉴定意见。</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鉴定金额</w:t>
            </w:r>
          </w:p>
        </w:tc>
        <w:tc>
          <w:tcPr>
            <w:tcW w:w="64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0.8%</w:t>
            </w:r>
          </w:p>
        </w:tc>
      </w:tr>
      <w:tr>
        <w:tblPrEx>
          <w:tblCellMar>
            <w:top w:w="0" w:type="dxa"/>
            <w:left w:w="0" w:type="dxa"/>
            <w:bottom w:w="0" w:type="dxa"/>
            <w:right w:w="0" w:type="dxa"/>
          </w:tblCellMar>
        </w:tblPrEx>
        <w:trPr>
          <w:trHeight w:val="389" w:hRule="atLeast"/>
          <w:jc w:val="center"/>
        </w:trPr>
        <w:tc>
          <w:tcPr>
            <w:tcW w:w="436"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15</w:t>
            </w:r>
          </w:p>
        </w:tc>
        <w:tc>
          <w:tcPr>
            <w:tcW w:w="13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hint="eastAsia"/>
                <w:color w:val="000000" w:themeColor="text1"/>
                <w:sz w:val="18"/>
                <w:szCs w:val="18"/>
                <w:lang w:val="en-US" w:bidi="ar"/>
                <w14:textFill>
                  <w14:solidFill>
                    <w14:schemeClr w14:val="tx1"/>
                  </w14:solidFill>
                </w14:textFill>
              </w:rPr>
            </w:pPr>
            <w:bookmarkStart w:id="0" w:name="_GoBack"/>
            <w:r>
              <w:rPr>
                <w:rFonts w:hint="eastAsia"/>
                <w:color w:val="000000" w:themeColor="text1"/>
                <w:sz w:val="18"/>
                <w:szCs w:val="18"/>
                <w:lang w:val="en-US" w:bidi="ar"/>
                <w14:textFill>
                  <w14:solidFill>
                    <w14:schemeClr w14:val="tx1"/>
                  </w14:solidFill>
                </w14:textFill>
              </w:rPr>
              <w:t>高级工程师、</w:t>
            </w:r>
          </w:p>
          <w:p>
            <w:pPr>
              <w:widowControl/>
              <w:adjustRightInd w:val="0"/>
              <w:snapToGrid w:val="0"/>
              <w:spacing w:line="280" w:lineRule="exact"/>
              <w:jc w:val="center"/>
              <w:textAlignment w:val="center"/>
              <w:rPr>
                <w:rFonts w:hint="eastAsia"/>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一级注册造价</w:t>
            </w:r>
          </w:p>
          <w:p>
            <w:pPr>
              <w:widowControl/>
              <w:adjustRightInd w:val="0"/>
              <w:snapToGrid w:val="0"/>
              <w:spacing w:line="28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工程师</w:t>
            </w:r>
            <w:bookmarkEnd w:id="0"/>
          </w:p>
        </w:tc>
        <w:tc>
          <w:tcPr>
            <w:tcW w:w="4634"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计日收费，适用于按人员出勤形式委托的零星造价咨询服务。</w:t>
            </w:r>
          </w:p>
          <w:p>
            <w:pPr>
              <w:adjustRightInd w:val="0"/>
              <w:snapToGrid w:val="0"/>
              <w:spacing w:line="280" w:lineRule="exact"/>
              <w:rPr>
                <w:color w:val="000000" w:themeColor="text1"/>
                <w:sz w:val="20"/>
                <w:szCs w:val="20"/>
                <w14:textFill>
                  <w14:solidFill>
                    <w14:schemeClr w14:val="tx1"/>
                  </w14:solidFill>
                </w14:textFill>
              </w:rPr>
            </w:pPr>
          </w:p>
        </w:tc>
        <w:tc>
          <w:tcPr>
            <w:tcW w:w="567" w:type="dxa"/>
            <w:vMerge w:val="restart"/>
            <w:tcBorders>
              <w:top w:val="single" w:color="auto" w:sz="4" w:space="0"/>
              <w:left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67" w:type="dxa"/>
            <w:vMerge w:val="restart"/>
            <w:tcBorders>
              <w:top w:val="single" w:color="auto" w:sz="4" w:space="0"/>
              <w:left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20"/>
                <w:szCs w:val="20"/>
                <w14:textFill>
                  <w14:solidFill>
                    <w14:schemeClr w14:val="tx1"/>
                  </w14:solidFill>
                </w14:textFill>
              </w:rPr>
            </w:pPr>
            <w:r>
              <w:rPr>
                <w:rStyle w:val="21"/>
                <w:rFonts w:hint="default"/>
                <w:color w:val="000000" w:themeColor="text1"/>
                <w:lang w:val="en-US" w:bidi="ar"/>
                <w14:textFill>
                  <w14:solidFill>
                    <w14:schemeClr w14:val="tx1"/>
                  </w14:solidFill>
                </w14:textFill>
              </w:rPr>
              <w:t>元</w:t>
            </w:r>
            <w:r>
              <w:rPr>
                <w:rStyle w:val="22"/>
                <w:color w:val="000000" w:themeColor="text1"/>
                <w:lang w:val="en-US" w:bidi="ar"/>
                <w14:textFill>
                  <w14:solidFill>
                    <w14:schemeClr w14:val="tx1"/>
                  </w14:solidFill>
                </w14:textFill>
              </w:rPr>
              <w:t>/</w:t>
            </w:r>
            <w:r>
              <w:rPr>
                <w:rStyle w:val="22"/>
                <w:rFonts w:hint="eastAsia"/>
                <w:color w:val="000000" w:themeColor="text1"/>
                <w:lang w:val="en-US" w:bidi="ar"/>
                <w14:textFill>
                  <w14:solidFill>
                    <w14:schemeClr w14:val="tx1"/>
                  </w14:solidFill>
                </w14:textFill>
              </w:rPr>
              <w:t>工</w:t>
            </w:r>
            <w:r>
              <w:rPr>
                <w:rStyle w:val="21"/>
                <w:rFonts w:hint="default"/>
                <w:color w:val="000000" w:themeColor="text1"/>
                <w:lang w:val="en-US" w:bidi="ar"/>
                <w14:textFill>
                  <w14:solidFill>
                    <w14:schemeClr w14:val="tx1"/>
                  </w14:solidFill>
                </w14:textFill>
              </w:rPr>
              <w:t>日</w:t>
            </w: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2000</w:t>
            </w:r>
          </w:p>
        </w:tc>
      </w:tr>
      <w:tr>
        <w:tblPrEx>
          <w:tblCellMar>
            <w:top w:w="0" w:type="dxa"/>
            <w:left w:w="0" w:type="dxa"/>
            <w:bottom w:w="0" w:type="dxa"/>
            <w:right w:w="0" w:type="dxa"/>
          </w:tblCellMar>
        </w:tblPrEx>
        <w:trPr>
          <w:trHeight w:val="361" w:hRule="atLeast"/>
          <w:jc w:val="center"/>
        </w:trPr>
        <w:tc>
          <w:tcPr>
            <w:tcW w:w="436"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bidi="ar"/>
                <w14:textFill>
                  <w14:solidFill>
                    <w14:schemeClr w14:val="tx1"/>
                  </w14:solidFill>
                </w14:textFill>
              </w:rPr>
              <w:t>工程师、二级注册造价工程师</w:t>
            </w:r>
          </w:p>
        </w:tc>
        <w:tc>
          <w:tcPr>
            <w:tcW w:w="4634"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rPr>
                <w:color w:val="000000" w:themeColor="text1"/>
                <w:sz w:val="20"/>
                <w:szCs w:val="20"/>
                <w14:textFill>
                  <w14:solidFill>
                    <w14:schemeClr w14:val="tx1"/>
                  </w14:solidFill>
                </w14:textFill>
              </w:rPr>
            </w:pPr>
          </w:p>
        </w:tc>
        <w:tc>
          <w:tcPr>
            <w:tcW w:w="567" w:type="dxa"/>
            <w:vMerge w:val="continue"/>
            <w:tcBorders>
              <w:left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67" w:type="dxa"/>
            <w:vMerge w:val="continue"/>
            <w:tcBorders>
              <w:left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1500</w:t>
            </w:r>
          </w:p>
        </w:tc>
      </w:tr>
      <w:tr>
        <w:tblPrEx>
          <w:tblCellMar>
            <w:top w:w="0" w:type="dxa"/>
            <w:left w:w="0" w:type="dxa"/>
            <w:bottom w:w="0" w:type="dxa"/>
            <w:right w:w="0" w:type="dxa"/>
          </w:tblCellMar>
        </w:tblPrEx>
        <w:trPr>
          <w:trHeight w:val="361" w:hRule="atLeast"/>
          <w:jc w:val="center"/>
        </w:trPr>
        <w:tc>
          <w:tcPr>
            <w:tcW w:w="436"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80" w:lineRule="exact"/>
              <w:jc w:val="center"/>
              <w:rPr>
                <w:rFonts w:ascii="Arial" w:hAnsi="Arial" w:cs="Arial"/>
                <w:color w:val="000000" w:themeColor="text1"/>
                <w:sz w:val="20"/>
                <w:szCs w:val="20"/>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hint="eastAsia"/>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其他造价专业</w:t>
            </w:r>
          </w:p>
          <w:p>
            <w:pPr>
              <w:widowControl/>
              <w:adjustRightInd w:val="0"/>
              <w:snapToGrid w:val="0"/>
              <w:spacing w:line="280" w:lineRule="exact"/>
              <w:jc w:val="center"/>
              <w:textAlignment w:val="center"/>
              <w:rPr>
                <w:color w:val="000000" w:themeColor="text1"/>
                <w:sz w:val="18"/>
                <w:szCs w:val="18"/>
                <w:lang w:val="en-US" w:bidi="ar"/>
                <w14:textFill>
                  <w14:solidFill>
                    <w14:schemeClr w14:val="tx1"/>
                  </w14:solidFill>
                </w14:textFill>
              </w:rPr>
            </w:pPr>
            <w:r>
              <w:rPr>
                <w:rFonts w:hint="eastAsia"/>
                <w:color w:val="000000" w:themeColor="text1"/>
                <w:sz w:val="18"/>
                <w:szCs w:val="18"/>
                <w:lang w:val="en-US" w:bidi="ar"/>
                <w14:textFill>
                  <w14:solidFill>
                    <w14:schemeClr w14:val="tx1"/>
                  </w14:solidFill>
                </w14:textFill>
              </w:rPr>
              <w:t>人员</w:t>
            </w:r>
          </w:p>
        </w:tc>
        <w:tc>
          <w:tcPr>
            <w:tcW w:w="4634"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rPr>
                <w:color w:val="000000" w:themeColor="text1"/>
                <w:sz w:val="20"/>
                <w:szCs w:val="20"/>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80" w:lineRule="exact"/>
              <w:jc w:val="center"/>
              <w:rPr>
                <w:color w:val="000000" w:themeColor="text1"/>
                <w:sz w:val="20"/>
                <w:szCs w:val="20"/>
                <w14:textFill>
                  <w14:solidFill>
                    <w14:schemeClr w14:val="tx1"/>
                  </w14:solidFill>
                </w14:textFill>
              </w:rPr>
            </w:pPr>
          </w:p>
        </w:tc>
        <w:tc>
          <w:tcPr>
            <w:tcW w:w="649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800</w:t>
            </w:r>
          </w:p>
        </w:tc>
      </w:tr>
      <w:tr>
        <w:tblPrEx>
          <w:tblCellMar>
            <w:top w:w="0" w:type="dxa"/>
            <w:left w:w="0" w:type="dxa"/>
            <w:bottom w:w="0" w:type="dxa"/>
            <w:right w:w="0" w:type="dxa"/>
          </w:tblCellMar>
        </w:tblPrEx>
        <w:trPr>
          <w:trHeight w:val="361" w:hRule="atLeast"/>
          <w:jc w:val="center"/>
        </w:trPr>
        <w:tc>
          <w:tcPr>
            <w:tcW w:w="14051" w:type="dxa"/>
            <w:gridSpan w:val="1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numPr>
                <w:ilvl w:val="255"/>
                <w:numId w:val="0"/>
              </w:numPr>
              <w:kinsoku/>
              <w:wordWrap/>
              <w:overflowPunct/>
              <w:topLinePunct w:val="0"/>
              <w:autoSpaceDE/>
              <w:autoSpaceDN/>
              <w:bidi w:val="0"/>
              <w:adjustRightInd w:val="0"/>
              <w:snapToGrid w:val="0"/>
              <w:spacing w:line="312" w:lineRule="auto"/>
              <w:textAlignment w:val="center"/>
              <w:rPr>
                <w:color w:val="000000" w:themeColor="text1"/>
                <w:sz w:val="20"/>
                <w:szCs w:val="20"/>
                <w:lang w:val="en-US" w:bidi="ar"/>
                <w14:textFill>
                  <w14:solidFill>
                    <w14:schemeClr w14:val="tx1"/>
                  </w14:solidFill>
                </w14:textFill>
              </w:rPr>
            </w:pPr>
            <w:r>
              <w:rPr>
                <w:rFonts w:hint="eastAsia"/>
                <w:b/>
                <w:bCs/>
                <w:color w:val="000000" w:themeColor="text1"/>
                <w:sz w:val="20"/>
                <w:szCs w:val="20"/>
                <w:lang w:val="en-US" w:bidi="ar"/>
                <w14:textFill>
                  <w14:solidFill>
                    <w14:schemeClr w14:val="tx1"/>
                  </w14:solidFill>
                </w14:textFill>
              </w:rPr>
              <w:t>说明：</w:t>
            </w:r>
            <w:r>
              <w:rPr>
                <w:rFonts w:hint="eastAsia"/>
                <w:color w:val="000000" w:themeColor="text1"/>
                <w:sz w:val="20"/>
                <w:szCs w:val="20"/>
                <w:lang w:val="en-US" w:bidi="ar"/>
                <w14:textFill>
                  <w14:solidFill>
                    <w14:schemeClr w14:val="tx1"/>
                  </w14:solidFill>
                </w14:textFill>
              </w:rPr>
              <w:t xml:space="preserve">                                                                                                                                                                                                                                                            </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1.本</w:t>
            </w:r>
            <w:r>
              <w:rPr>
                <w:rFonts w:hint="eastAsia"/>
                <w:color w:val="000000" w:themeColor="text1"/>
                <w:sz w:val="20"/>
                <w:szCs w:val="20"/>
                <w:lang w:val="en-US" w:eastAsia="zh-CN" w:bidi="ar"/>
                <w14:textFill>
                  <w14:solidFill>
                    <w14:schemeClr w14:val="tx1"/>
                  </w14:solidFill>
                </w14:textFill>
              </w:rPr>
              <w:t>《成本参考价》</w:t>
            </w:r>
            <w:r>
              <w:rPr>
                <w:rFonts w:hint="eastAsia"/>
                <w:color w:val="000000" w:themeColor="text1"/>
                <w:sz w:val="20"/>
                <w:szCs w:val="20"/>
                <w:lang w:val="en-US" w:bidi="ar"/>
                <w14:textFill>
                  <w14:solidFill>
                    <w14:schemeClr w14:val="tx1"/>
                  </w14:solidFill>
                </w14:textFill>
              </w:rPr>
              <w:t>实行“谁委托谁付费”原则，委托合同另有约定的按合同要求。</w:t>
            </w:r>
          </w:p>
          <w:p>
            <w:pPr>
              <w:keepNext w:val="0"/>
              <w:keepLines w:val="0"/>
              <w:pageBreakBefore w:val="0"/>
              <w:widowControl/>
              <w:numPr>
                <w:ilvl w:val="255"/>
                <w:numId w:val="0"/>
              </w:numPr>
              <w:kinsoku/>
              <w:wordWrap/>
              <w:overflowPunct/>
              <w:topLinePunct w:val="0"/>
              <w:autoSpaceDE/>
              <w:autoSpaceDN/>
              <w:bidi w:val="0"/>
              <w:adjustRightInd w:val="0"/>
              <w:snapToGrid w:val="0"/>
              <w:spacing w:line="312" w:lineRule="auto"/>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2.单项造价咨询服务费用不足3000元，按3000元收取（以出具的单个报告为准）；工程造价鉴定服务费用不足</w:t>
            </w:r>
            <w:r>
              <w:rPr>
                <w:color w:val="000000" w:themeColor="text1"/>
                <w:sz w:val="20"/>
                <w:szCs w:val="20"/>
                <w:lang w:val="en-US" w:bidi="ar"/>
                <w14:textFill>
                  <w14:solidFill>
                    <w14:schemeClr w14:val="tx1"/>
                  </w14:solidFill>
                </w14:textFill>
              </w:rPr>
              <w:t>5</w:t>
            </w:r>
            <w:r>
              <w:rPr>
                <w:rFonts w:hint="eastAsia"/>
                <w:color w:val="000000" w:themeColor="text1"/>
                <w:sz w:val="20"/>
                <w:szCs w:val="20"/>
                <w:lang w:val="en-US" w:bidi="ar"/>
                <w14:textFill>
                  <w14:solidFill>
                    <w14:schemeClr w14:val="tx1"/>
                  </w14:solidFill>
                </w14:textFill>
              </w:rPr>
              <w:t>000元，按</w:t>
            </w:r>
            <w:r>
              <w:rPr>
                <w:color w:val="000000" w:themeColor="text1"/>
                <w:sz w:val="20"/>
                <w:szCs w:val="20"/>
                <w:lang w:val="en-US" w:bidi="ar"/>
                <w14:textFill>
                  <w14:solidFill>
                    <w14:schemeClr w14:val="tx1"/>
                  </w14:solidFill>
                </w14:textFill>
              </w:rPr>
              <w:t>5</w:t>
            </w:r>
            <w:r>
              <w:rPr>
                <w:rFonts w:hint="eastAsia"/>
                <w:color w:val="000000" w:themeColor="text1"/>
                <w:sz w:val="20"/>
                <w:szCs w:val="20"/>
                <w:lang w:val="en-US" w:bidi="ar"/>
                <w14:textFill>
                  <w14:solidFill>
                    <w14:schemeClr w14:val="tx1"/>
                  </w14:solidFill>
                </w14:textFill>
              </w:rPr>
              <w:t>000元收取（以出具的单个报告为准）</w:t>
            </w:r>
            <w:r>
              <w:rPr>
                <w:color w:val="000000" w:themeColor="text1"/>
                <w:sz w:val="20"/>
                <w:szCs w:val="20"/>
                <w:lang w:val="en-US" w:bidi="ar"/>
                <w14:textFill>
                  <w14:solidFill>
                    <w14:schemeClr w14:val="tx1"/>
                  </w14:solidFill>
                </w14:textFill>
              </w:rPr>
              <w:t xml:space="preserve">；增选工作在基本工作收费的基础上结合实际情况可增加适当比例。 </w:t>
            </w:r>
            <w:r>
              <w:rPr>
                <w:rFonts w:hint="eastAsia"/>
                <w:color w:val="000000" w:themeColor="text1"/>
                <w:sz w:val="20"/>
                <w:szCs w:val="20"/>
                <w:lang w:val="en-US" w:bidi="ar"/>
                <w14:textFill>
                  <w14:solidFill>
                    <w14:schemeClr w14:val="tx1"/>
                  </w14:solidFill>
                </w14:textFill>
              </w:rPr>
              <w:t xml:space="preserve">                                                                                                                                                                     </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3.本</w:t>
            </w:r>
            <w:r>
              <w:rPr>
                <w:rFonts w:hint="eastAsia"/>
                <w:color w:val="000000" w:themeColor="text1"/>
                <w:sz w:val="20"/>
                <w:szCs w:val="20"/>
                <w:lang w:val="en-US" w:eastAsia="zh-CN" w:bidi="ar"/>
                <w14:textFill>
                  <w14:solidFill>
                    <w14:schemeClr w14:val="tx1"/>
                  </w14:solidFill>
                </w14:textFill>
              </w:rPr>
              <w:t>《成本参考价》</w:t>
            </w:r>
            <w:r>
              <w:rPr>
                <w:rFonts w:hint="eastAsia"/>
                <w:color w:val="000000" w:themeColor="text1"/>
                <w:sz w:val="20"/>
                <w:szCs w:val="20"/>
                <w:lang w:val="en-US" w:bidi="ar"/>
                <w14:textFill>
                  <w14:solidFill>
                    <w14:schemeClr w14:val="tx1"/>
                  </w14:solidFill>
                </w14:textFill>
              </w:rPr>
              <w:t>采用差额累进递减收费，适用于房屋建筑和市政建设工程；精装修、仿古建筑、水利工程、交通工程等结合附表1可参照执行，主管部门另有规定的，从其规定。核减额与核增额不冲抵消，核减收费与核增收费以核减额或核增额绝对值相加进行计费。</w:t>
            </w:r>
            <w:r>
              <w:rPr>
                <w:rFonts w:hint="eastAsia"/>
                <w:color w:val="000000" w:themeColor="text1"/>
                <w:sz w:val="20"/>
                <w:szCs w:val="20"/>
                <w:lang w:val="en-US" w:bidi="ar"/>
                <w14:textFill>
                  <w14:solidFill>
                    <w14:schemeClr w14:val="tx1"/>
                  </w14:solidFill>
                </w14:textFill>
              </w:rPr>
              <w:br w:type="textWrapping"/>
            </w:r>
            <w:r>
              <w:rPr>
                <w:color w:val="000000" w:themeColor="text1"/>
                <w:sz w:val="20"/>
                <w:szCs w:val="20"/>
                <w:lang w:val="en-US" w:bidi="ar"/>
                <w14:textFill>
                  <w14:solidFill>
                    <w14:schemeClr w14:val="tx1"/>
                  </w14:solidFill>
                </w14:textFill>
              </w:rPr>
              <w:t>4</w:t>
            </w:r>
            <w:r>
              <w:rPr>
                <w:rFonts w:hint="eastAsia"/>
                <w:color w:val="000000" w:themeColor="text1"/>
                <w:sz w:val="20"/>
                <w:szCs w:val="20"/>
                <w:lang w:val="en-US" w:bidi="ar"/>
                <w14:textFill>
                  <w14:solidFill>
                    <w14:schemeClr w14:val="tx1"/>
                  </w14:solidFill>
                </w14:textFill>
              </w:rPr>
              <w:t>.清单漏项、工程量计算错误，小数点错误或合价计算错误等可计入核减（增）额。</w:t>
            </w:r>
            <w:r>
              <w:rPr>
                <w:rFonts w:hint="eastAsia"/>
                <w:color w:val="000000" w:themeColor="text1"/>
                <w:sz w:val="20"/>
                <w:szCs w:val="20"/>
                <w:lang w:val="en-US" w:bidi="ar"/>
                <w14:textFill>
                  <w14:solidFill>
                    <w14:schemeClr w14:val="tx1"/>
                  </w14:solidFill>
                </w14:textFill>
              </w:rPr>
              <w:br w:type="textWrapping"/>
            </w:r>
            <w:r>
              <w:rPr>
                <w:color w:val="000000" w:themeColor="text1"/>
                <w:sz w:val="20"/>
                <w:szCs w:val="20"/>
                <w:lang w:val="en-US" w:bidi="ar"/>
                <w14:textFill>
                  <w14:solidFill>
                    <w14:schemeClr w14:val="tx1"/>
                  </w14:solidFill>
                </w14:textFill>
              </w:rPr>
              <w:t>5</w:t>
            </w:r>
            <w:r>
              <w:rPr>
                <w:rFonts w:hint="eastAsia"/>
                <w:color w:val="000000" w:themeColor="text1"/>
                <w:sz w:val="20"/>
                <w:szCs w:val="20"/>
                <w:lang w:val="en-US" w:bidi="ar"/>
                <w14:textFill>
                  <w14:solidFill>
                    <w14:schemeClr w14:val="tx1"/>
                  </w14:solidFill>
                </w14:textFill>
              </w:rPr>
              <w:t>.E</w:t>
            </w:r>
            <w:r>
              <w:rPr>
                <w:color w:val="000000" w:themeColor="text1"/>
                <w:sz w:val="20"/>
                <w:szCs w:val="20"/>
                <w:lang w:val="en-US" w:bidi="ar"/>
                <w14:textFill>
                  <w14:solidFill>
                    <w14:schemeClr w14:val="tx1"/>
                  </w14:solidFill>
                </w14:textFill>
              </w:rPr>
              <w:t>PC</w:t>
            </w:r>
            <w:r>
              <w:rPr>
                <w:rFonts w:hint="eastAsia"/>
                <w:color w:val="000000" w:themeColor="text1"/>
                <w:sz w:val="20"/>
                <w:szCs w:val="20"/>
                <w:lang w:val="en-US" w:bidi="ar"/>
                <w14:textFill>
                  <w14:solidFill>
                    <w14:schemeClr w14:val="tx1"/>
                  </w14:solidFill>
                </w14:textFill>
              </w:rPr>
              <w:t>、</w:t>
            </w:r>
            <w:r>
              <w:rPr>
                <w:color w:val="000000" w:themeColor="text1"/>
                <w:sz w:val="20"/>
                <w:szCs w:val="20"/>
                <w:lang w:val="en-US" w:bidi="ar"/>
                <w14:textFill>
                  <w14:solidFill>
                    <w14:schemeClr w14:val="tx1"/>
                  </w14:solidFill>
                </w14:textFill>
              </w:rPr>
              <w:t>PPP</w:t>
            </w:r>
            <w:r>
              <w:rPr>
                <w:rFonts w:hint="eastAsia"/>
                <w:color w:val="000000" w:themeColor="text1"/>
                <w:sz w:val="20"/>
                <w:szCs w:val="20"/>
                <w:lang w:val="en-US" w:bidi="ar"/>
                <w14:textFill>
                  <w14:solidFill>
                    <w14:schemeClr w14:val="tx1"/>
                  </w14:solidFill>
                </w14:textFill>
              </w:rPr>
              <w:t>项目分项咨询服务收费可参照建设工程各阶段对应服务内容收费标准累加执行，项目若为全过程咨询服务，收费应结合项目实际情况，参照全过程造价咨询执行。</w:t>
            </w:r>
          </w:p>
          <w:p>
            <w:pPr>
              <w:keepNext w:val="0"/>
              <w:keepLines w:val="0"/>
              <w:pageBreakBefore w:val="0"/>
              <w:widowControl/>
              <w:numPr>
                <w:ilvl w:val="255"/>
                <w:numId w:val="0"/>
              </w:numPr>
              <w:kinsoku/>
              <w:wordWrap/>
              <w:overflowPunct/>
              <w:topLinePunct w:val="0"/>
              <w:autoSpaceDE/>
              <w:autoSpaceDN/>
              <w:bidi w:val="0"/>
              <w:adjustRightInd w:val="0"/>
              <w:snapToGrid w:val="0"/>
              <w:spacing w:line="312" w:lineRule="auto"/>
              <w:textAlignment w:val="center"/>
              <w:rPr>
                <w:color w:val="000000" w:themeColor="text1"/>
                <w:sz w:val="20"/>
                <w:szCs w:val="20"/>
                <w:lang w:val="en-US" w:bidi="ar"/>
                <w14:textFill>
                  <w14:solidFill>
                    <w14:schemeClr w14:val="tx1"/>
                  </w14:solidFill>
                </w14:textFill>
              </w:rPr>
            </w:pPr>
            <w:r>
              <w:rPr>
                <w:color w:val="000000" w:themeColor="text1"/>
                <w:sz w:val="20"/>
                <w:szCs w:val="20"/>
                <w:lang w:val="en-US" w:bidi="ar"/>
                <w14:textFill>
                  <w14:solidFill>
                    <w14:schemeClr w14:val="tx1"/>
                  </w14:solidFill>
                </w14:textFill>
              </w:rPr>
              <w:t>6</w:t>
            </w:r>
            <w:r>
              <w:rPr>
                <w:rFonts w:hint="eastAsia"/>
                <w:color w:val="000000" w:themeColor="text1"/>
                <w:sz w:val="20"/>
                <w:szCs w:val="20"/>
                <w:lang w:val="en-US" w:bidi="ar"/>
                <w14:textFill>
                  <w14:solidFill>
                    <w14:schemeClr w14:val="tx1"/>
                  </w14:solidFill>
                </w14:textFill>
              </w:rPr>
              <w:t>.工程主材、设备无论是否计入控制价、结算价等，均应计入取费基数。合同包干价的签证变更项目，包干价部分应计入取费基数。</w:t>
            </w:r>
          </w:p>
          <w:p>
            <w:pPr>
              <w:keepNext w:val="0"/>
              <w:keepLines w:val="0"/>
              <w:pageBreakBefore w:val="0"/>
              <w:kinsoku/>
              <w:wordWrap/>
              <w:overflowPunct/>
              <w:topLinePunct w:val="0"/>
              <w:autoSpaceDE/>
              <w:autoSpaceDN/>
              <w:bidi w:val="0"/>
              <w:adjustRightInd w:val="0"/>
              <w:snapToGrid w:val="0"/>
              <w:spacing w:line="312" w:lineRule="auto"/>
              <w:rPr>
                <w:color w:val="000000" w:themeColor="text1"/>
                <w:sz w:val="20"/>
                <w:szCs w:val="20"/>
                <w14:textFill>
                  <w14:solidFill>
                    <w14:schemeClr w14:val="tx1"/>
                  </w14:solidFill>
                </w14:textFill>
              </w:rPr>
            </w:pPr>
            <w:r>
              <w:rPr>
                <w:color w:val="000000" w:themeColor="text1"/>
                <w:sz w:val="20"/>
                <w:szCs w:val="20"/>
                <w:lang w:val="en-US"/>
                <w14:textFill>
                  <w14:solidFill>
                    <w14:schemeClr w14:val="tx1"/>
                  </w14:solidFill>
                </w14:textFill>
              </w:rPr>
              <w:t>7</w:t>
            </w:r>
            <w:r>
              <w:rPr>
                <w:rFonts w:hint="eastAsia"/>
                <w:color w:val="000000" w:themeColor="text1"/>
                <w:sz w:val="20"/>
                <w:szCs w:val="20"/>
                <w14:textFill>
                  <w14:solidFill>
                    <w14:schemeClr w14:val="tx1"/>
                  </w14:solidFill>
                </w14:textFill>
              </w:rPr>
              <w:t>.编制或审核</w:t>
            </w:r>
            <w:r>
              <w:rPr>
                <w:rFonts w:hint="eastAsia"/>
                <w:color w:val="000000" w:themeColor="text1"/>
                <w:sz w:val="20"/>
                <w:szCs w:val="20"/>
                <w:lang w:val="en-US"/>
                <w14:textFill>
                  <w14:solidFill>
                    <w14:schemeClr w14:val="tx1"/>
                  </w14:solidFill>
                </w14:textFill>
              </w:rPr>
              <w:t>工程量</w:t>
            </w:r>
            <w:r>
              <w:rPr>
                <w:rFonts w:hint="eastAsia"/>
                <w:color w:val="000000" w:themeColor="text1"/>
                <w:sz w:val="20"/>
                <w:szCs w:val="20"/>
                <w14:textFill>
                  <w14:solidFill>
                    <w14:schemeClr w14:val="tx1"/>
                  </w14:solidFill>
                </w14:textFill>
              </w:rPr>
              <w:t>清单及招标控制价、施工图</w:t>
            </w:r>
            <w:r>
              <w:rPr>
                <w:rFonts w:hint="eastAsia"/>
                <w:color w:val="000000" w:themeColor="text1"/>
                <w:sz w:val="20"/>
                <w:szCs w:val="20"/>
                <w:lang w:val="en-US"/>
                <w14:textFill>
                  <w14:solidFill>
                    <w14:schemeClr w14:val="tx1"/>
                  </w14:solidFill>
                </w14:textFill>
              </w:rPr>
              <w:t>工程</w:t>
            </w:r>
            <w:r>
              <w:rPr>
                <w:rFonts w:hint="eastAsia"/>
                <w:color w:val="000000" w:themeColor="text1"/>
                <w:sz w:val="20"/>
                <w:szCs w:val="20"/>
                <w14:textFill>
                  <w14:solidFill>
                    <w14:schemeClr w14:val="tx1"/>
                  </w14:solidFill>
                </w14:textFill>
              </w:rPr>
              <w:t>预算时，因委托人引起的设计变更或其他原因导致受托人工作量增加的（包括多次补充送审、重新送审），根据实际情况可多次增加相应费用或者按照标准重复计取费用。编制或审核招标控制价时，仅编制或审核工程量清单的，按收费标准的</w:t>
            </w:r>
            <w:r>
              <w:rPr>
                <w:color w:val="000000" w:themeColor="text1"/>
                <w:sz w:val="20"/>
                <w:szCs w:val="20"/>
                <w14:textFill>
                  <w14:solidFill>
                    <w14:schemeClr w14:val="tx1"/>
                  </w14:solidFill>
                </w14:textFill>
              </w:rPr>
              <w:t>60%计算；仅编制或审核单价（造价）的，按收费标准的50%计算。</w:t>
            </w:r>
          </w:p>
          <w:p>
            <w:pPr>
              <w:keepNext w:val="0"/>
              <w:keepLines w:val="0"/>
              <w:pageBreakBefore w:val="0"/>
              <w:kinsoku/>
              <w:wordWrap/>
              <w:overflowPunct/>
              <w:topLinePunct w:val="0"/>
              <w:autoSpaceDE/>
              <w:autoSpaceDN/>
              <w:bidi w:val="0"/>
              <w:adjustRightInd w:val="0"/>
              <w:snapToGrid w:val="0"/>
              <w:spacing w:line="312" w:lineRule="auto"/>
              <w:rPr>
                <w:color w:val="000000" w:themeColor="text1"/>
                <w:sz w:val="20"/>
                <w:szCs w:val="20"/>
                <w14:textFill>
                  <w14:solidFill>
                    <w14:schemeClr w14:val="tx1"/>
                  </w14:solidFill>
                </w14:textFill>
              </w:rPr>
            </w:pPr>
            <w:r>
              <w:rPr>
                <w:color w:val="000000" w:themeColor="text1"/>
                <w:sz w:val="20"/>
                <w:szCs w:val="20"/>
                <w:lang w:val="en-US"/>
                <w14:textFill>
                  <w14:solidFill>
                    <w14:schemeClr w14:val="tx1"/>
                  </w14:solidFill>
                </w14:textFill>
              </w:rPr>
              <w:t>8</w:t>
            </w:r>
            <w:r>
              <w:rPr>
                <w:rFonts w:hint="eastAsia"/>
                <w:color w:val="000000" w:themeColor="text1"/>
                <w:sz w:val="20"/>
                <w:szCs w:val="20"/>
                <w14:textFill>
                  <w14:solidFill>
                    <w14:schemeClr w14:val="tx1"/>
                  </w14:solidFill>
                </w14:textFill>
              </w:rPr>
              <w:t>.编制或审核施工图</w:t>
            </w:r>
            <w:r>
              <w:rPr>
                <w:rFonts w:hint="eastAsia"/>
                <w:color w:val="000000" w:themeColor="text1"/>
                <w:sz w:val="20"/>
                <w:szCs w:val="20"/>
                <w:lang w:val="en-US"/>
                <w14:textFill>
                  <w14:solidFill>
                    <w14:schemeClr w14:val="tx1"/>
                  </w14:solidFill>
                </w14:textFill>
              </w:rPr>
              <w:t>工程</w:t>
            </w:r>
            <w:r>
              <w:rPr>
                <w:rFonts w:hint="eastAsia"/>
                <w:color w:val="000000" w:themeColor="text1"/>
                <w:sz w:val="20"/>
                <w:szCs w:val="20"/>
                <w14:textFill>
                  <w14:solidFill>
                    <w14:schemeClr w14:val="tx1"/>
                  </w14:solidFill>
                </w14:textFill>
              </w:rPr>
              <w:t>预算时，发生</w:t>
            </w:r>
            <w:r>
              <w:rPr>
                <w:rFonts w:hint="eastAsia"/>
                <w:color w:val="000000" w:themeColor="text1"/>
                <w:sz w:val="20"/>
                <w:szCs w:val="20"/>
                <w:lang w:val="en-US"/>
                <w14:textFill>
                  <w14:solidFill>
                    <w14:schemeClr w14:val="tx1"/>
                  </w14:solidFill>
                </w14:textFill>
              </w:rPr>
              <w:t>复核</w:t>
            </w:r>
            <w:r>
              <w:rPr>
                <w:rFonts w:hint="eastAsia"/>
                <w:color w:val="000000" w:themeColor="text1"/>
                <w:sz w:val="20"/>
                <w:szCs w:val="20"/>
                <w14:textFill>
                  <w14:solidFill>
                    <w14:schemeClr w14:val="tx1"/>
                  </w14:solidFill>
                </w14:textFill>
              </w:rPr>
              <w:t>情形的，按照编制或审核招标控制价的费用计算。</w:t>
            </w:r>
          </w:p>
          <w:p>
            <w:pPr>
              <w:keepNext w:val="0"/>
              <w:keepLines w:val="0"/>
              <w:pageBreakBefore w:val="0"/>
              <w:kinsoku/>
              <w:wordWrap/>
              <w:overflowPunct/>
              <w:topLinePunct w:val="0"/>
              <w:autoSpaceDE/>
              <w:autoSpaceDN/>
              <w:bidi w:val="0"/>
              <w:adjustRightInd w:val="0"/>
              <w:snapToGrid w:val="0"/>
              <w:spacing w:line="312" w:lineRule="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9.</w:t>
            </w:r>
            <w:r>
              <w:rPr>
                <w:rFonts w:hint="eastAsia"/>
                <w:color w:val="000000" w:themeColor="text1"/>
                <w:sz w:val="20"/>
                <w:szCs w:val="20"/>
                <w:lang w:val="en-US" w:bidi="ar"/>
                <w14:textFill>
                  <w14:solidFill>
                    <w14:schemeClr w14:val="tx1"/>
                  </w14:solidFill>
                </w14:textFill>
              </w:rPr>
              <w:t>工程结算</w:t>
            </w:r>
            <w:r>
              <w:rPr>
                <w:rFonts w:hint="eastAsia"/>
                <w:color w:val="000000" w:themeColor="text1"/>
                <w:sz w:val="20"/>
                <w:szCs w:val="20"/>
                <w14:textFill>
                  <w14:solidFill>
                    <w14:schemeClr w14:val="tx1"/>
                  </w14:solidFill>
                </w14:textFill>
              </w:rPr>
              <w:t>编制或审核时，因施工单位或委托人引起的设计变更或其他原因导致受托人工作量增加的（包括多次补充送审、重新送审、多次复审核对），根据实际情况可多次增加相应费用或者按照标准重复计取费用。</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1</w:t>
            </w:r>
            <w:r>
              <w:rPr>
                <w:color w:val="000000" w:themeColor="text1"/>
                <w:sz w:val="20"/>
                <w:szCs w:val="20"/>
                <w:lang w:val="en-US" w:bidi="ar"/>
                <w14:textFill>
                  <w14:solidFill>
                    <w14:schemeClr w14:val="tx1"/>
                  </w14:solidFill>
                </w14:textFill>
              </w:rPr>
              <w:t>0</w:t>
            </w:r>
            <w:r>
              <w:rPr>
                <w:rFonts w:hint="eastAsia"/>
                <w:color w:val="000000" w:themeColor="text1"/>
                <w:sz w:val="20"/>
                <w:szCs w:val="20"/>
                <w:lang w:val="en-US" w:bidi="ar"/>
                <w14:textFill>
                  <w14:solidFill>
                    <w14:schemeClr w14:val="tx1"/>
                  </w14:solidFill>
                </w14:textFill>
              </w:rPr>
              <w:t>.全过程造价咨询、施工阶段全过程造价控制，不包含方案优化、各类招标代理、驻场人员费用，发生时另行计算。</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1</w:t>
            </w:r>
            <w:r>
              <w:rPr>
                <w:color w:val="000000" w:themeColor="text1"/>
                <w:sz w:val="20"/>
                <w:szCs w:val="20"/>
                <w:lang w:val="en-US" w:bidi="ar"/>
                <w14:textFill>
                  <w14:solidFill>
                    <w14:schemeClr w14:val="tx1"/>
                  </w14:solidFill>
                </w14:textFill>
              </w:rPr>
              <w:t>1</w:t>
            </w:r>
            <w:r>
              <w:rPr>
                <w:rFonts w:hint="eastAsia"/>
                <w:color w:val="000000" w:themeColor="text1"/>
                <w:sz w:val="20"/>
                <w:szCs w:val="20"/>
                <w:lang w:val="en-US" w:bidi="ar"/>
                <w14:textFill>
                  <w14:solidFill>
                    <w14:schemeClr w14:val="tx1"/>
                  </w14:solidFill>
                </w14:textFill>
              </w:rPr>
              <w:t>.全过程造价咨询服务驻场人员根据工程项目情况及委托人要求确定，若需人员驻场工作，相应增加补贴</w:t>
            </w:r>
            <w:r>
              <w:rPr>
                <w:color w:val="000000" w:themeColor="text1"/>
                <w:sz w:val="20"/>
                <w:szCs w:val="20"/>
                <w:lang w:val="en-US" w:bidi="ar"/>
                <w14:textFill>
                  <w14:solidFill>
                    <w14:schemeClr w14:val="tx1"/>
                  </w14:solidFill>
                </w14:textFill>
              </w:rPr>
              <w:t>1</w:t>
            </w:r>
            <w:r>
              <w:rPr>
                <w:rFonts w:hint="eastAsia"/>
                <w:color w:val="000000" w:themeColor="text1"/>
                <w:sz w:val="20"/>
                <w:szCs w:val="20"/>
                <w:lang w:val="en-US" w:bidi="ar"/>
                <w14:textFill>
                  <w14:solidFill>
                    <w14:schemeClr w14:val="tx1"/>
                  </w14:solidFill>
                </w14:textFill>
              </w:rPr>
              <w:t>0000-</w:t>
            </w:r>
            <w:r>
              <w:rPr>
                <w:color w:val="000000" w:themeColor="text1"/>
                <w:sz w:val="20"/>
                <w:szCs w:val="20"/>
                <w:lang w:val="en-US" w:bidi="ar"/>
                <w14:textFill>
                  <w14:solidFill>
                    <w14:schemeClr w14:val="tx1"/>
                  </w14:solidFill>
                </w14:textFill>
              </w:rPr>
              <w:t>3</w:t>
            </w:r>
            <w:r>
              <w:rPr>
                <w:rFonts w:hint="eastAsia"/>
                <w:color w:val="000000" w:themeColor="text1"/>
                <w:sz w:val="20"/>
                <w:szCs w:val="20"/>
                <w:lang w:val="en-US" w:bidi="ar"/>
                <w14:textFill>
                  <w14:solidFill>
                    <w14:schemeClr w14:val="tx1"/>
                  </w14:solidFill>
                </w14:textFill>
              </w:rPr>
              <w:t>0000元/人月（具体金额根据驻场人员的综合工作能力决定，包括资格证书等级、职称等级、实操水平等，其中高级工程师、一级注册造价工程师补贴2</w:t>
            </w:r>
            <w:r>
              <w:rPr>
                <w:color w:val="000000" w:themeColor="text1"/>
                <w:sz w:val="20"/>
                <w:szCs w:val="20"/>
                <w:lang w:val="en-US" w:bidi="ar"/>
                <w14:textFill>
                  <w14:solidFill>
                    <w14:schemeClr w14:val="tx1"/>
                  </w14:solidFill>
                </w14:textFill>
              </w:rPr>
              <w:t>0000-30000元/人月</w:t>
            </w:r>
            <w:r>
              <w:rPr>
                <w:rFonts w:hint="eastAsia"/>
                <w:color w:val="000000" w:themeColor="text1"/>
                <w:sz w:val="20"/>
                <w:szCs w:val="20"/>
                <w:lang w:val="en-US" w:bidi="ar"/>
                <w14:textFill>
                  <w14:solidFill>
                    <w14:schemeClr w14:val="tx1"/>
                  </w14:solidFill>
                </w14:textFill>
              </w:rPr>
              <w:t>，工程师、二级注册造价工程师补贴1</w:t>
            </w:r>
            <w:r>
              <w:rPr>
                <w:color w:val="000000" w:themeColor="text1"/>
                <w:sz w:val="20"/>
                <w:szCs w:val="20"/>
                <w:lang w:val="en-US" w:bidi="ar"/>
                <w14:textFill>
                  <w14:solidFill>
                    <w14:schemeClr w14:val="tx1"/>
                  </w14:solidFill>
                </w14:textFill>
              </w:rPr>
              <w:t>0000-</w:t>
            </w:r>
            <w:r>
              <w:rPr>
                <w:rFonts w:hint="eastAsia"/>
                <w:color w:val="000000" w:themeColor="text1"/>
                <w:sz w:val="20"/>
                <w:szCs w:val="20"/>
                <w:lang w:val="en-US" w:bidi="ar"/>
                <w14:textFill>
                  <w14:solidFill>
                    <w14:schemeClr w14:val="tx1"/>
                  </w14:solidFill>
                </w14:textFill>
              </w:rPr>
              <w:t>2</w:t>
            </w:r>
            <w:r>
              <w:rPr>
                <w:color w:val="000000" w:themeColor="text1"/>
                <w:sz w:val="20"/>
                <w:szCs w:val="20"/>
                <w:lang w:val="en-US" w:bidi="ar"/>
                <w14:textFill>
                  <w14:solidFill>
                    <w14:schemeClr w14:val="tx1"/>
                  </w14:solidFill>
                </w14:textFill>
              </w:rPr>
              <w:t>0000元/人月</w:t>
            </w:r>
            <w:r>
              <w:rPr>
                <w:rFonts w:hint="eastAsia"/>
                <w:color w:val="000000" w:themeColor="text1"/>
                <w:sz w:val="20"/>
                <w:szCs w:val="20"/>
                <w:lang w:val="en-US" w:bidi="ar"/>
                <w14:textFill>
                  <w14:solidFill>
                    <w14:schemeClr w14:val="tx1"/>
                  </w14:solidFill>
                </w14:textFill>
              </w:rPr>
              <w:t>，其他造价专业人员补贴6</w:t>
            </w:r>
            <w:r>
              <w:rPr>
                <w:color w:val="000000" w:themeColor="text1"/>
                <w:sz w:val="20"/>
                <w:szCs w:val="20"/>
                <w:lang w:val="en-US" w:bidi="ar"/>
                <w14:textFill>
                  <w14:solidFill>
                    <w14:schemeClr w14:val="tx1"/>
                  </w14:solidFill>
                </w14:textFill>
              </w:rPr>
              <w:t>000</w:t>
            </w:r>
            <w:r>
              <w:rPr>
                <w:rFonts w:hint="eastAsia"/>
                <w:color w:val="000000" w:themeColor="text1"/>
                <w:sz w:val="20"/>
                <w:szCs w:val="20"/>
                <w:lang w:val="en-US" w:bidi="ar"/>
                <w14:textFill>
                  <w14:solidFill>
                    <w14:schemeClr w14:val="tx1"/>
                  </w14:solidFill>
                </w14:textFill>
              </w:rPr>
              <w:t>-</w:t>
            </w:r>
            <w:r>
              <w:rPr>
                <w:color w:val="000000" w:themeColor="text1"/>
                <w:sz w:val="20"/>
                <w:szCs w:val="20"/>
                <w:lang w:val="en-US" w:bidi="ar"/>
                <w14:textFill>
                  <w14:solidFill>
                    <w14:schemeClr w14:val="tx1"/>
                  </w14:solidFill>
                </w14:textFill>
              </w:rPr>
              <w:t>10000元/人月</w:t>
            </w:r>
            <w:r>
              <w:rPr>
                <w:rFonts w:hint="eastAsia"/>
                <w:color w:val="000000" w:themeColor="text1"/>
                <w:sz w:val="20"/>
                <w:szCs w:val="20"/>
                <w:lang w:val="en-US" w:bidi="ar"/>
                <w14:textFill>
                  <w14:solidFill>
                    <w14:schemeClr w14:val="tx1"/>
                  </w14:solidFill>
                </w14:textFill>
              </w:rPr>
              <w:t>），异地差旅费另行约定。</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lang w:val="en-US" w:bidi="ar"/>
                <w14:textFill>
                  <w14:solidFill>
                    <w14:schemeClr w14:val="tx1"/>
                  </w14:solidFill>
                </w14:textFill>
              </w:rPr>
            </w:pPr>
            <w:r>
              <w:rPr>
                <w:color w:val="000000" w:themeColor="text1"/>
                <w:sz w:val="20"/>
                <w:szCs w:val="20"/>
                <w:lang w:val="en-US" w:bidi="ar"/>
                <w14:textFill>
                  <w14:solidFill>
                    <w14:schemeClr w14:val="tx1"/>
                  </w14:solidFill>
                </w14:textFill>
              </w:rPr>
              <w:t>12.</w:t>
            </w:r>
            <w:r>
              <w:rPr>
                <w:rFonts w:hint="eastAsia"/>
                <w:color w:val="000000" w:themeColor="text1"/>
                <w:sz w:val="20"/>
                <w:szCs w:val="20"/>
                <w:lang w:val="en-US" w:bidi="ar"/>
                <w14:textFill>
                  <w14:solidFill>
                    <w14:schemeClr w14:val="tx1"/>
                  </w14:solidFill>
                </w14:textFill>
              </w:rPr>
              <w:t>材料（设备）询价赴异地实地询价，其发生的差旅费由委托单位承担。</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1</w:t>
            </w:r>
            <w:r>
              <w:rPr>
                <w:color w:val="000000" w:themeColor="text1"/>
                <w:sz w:val="20"/>
                <w:szCs w:val="20"/>
                <w:lang w:val="en-US" w:bidi="ar"/>
                <w14:textFill>
                  <w14:solidFill>
                    <w14:schemeClr w14:val="tx1"/>
                  </w14:solidFill>
                </w14:textFill>
              </w:rPr>
              <w:t>3</w:t>
            </w:r>
            <w:r>
              <w:rPr>
                <w:rFonts w:hint="eastAsia"/>
                <w:color w:val="000000" w:themeColor="text1"/>
                <w:sz w:val="20"/>
                <w:szCs w:val="20"/>
                <w:lang w:val="en-US" w:bidi="ar"/>
                <w14:textFill>
                  <w14:solidFill>
                    <w14:schemeClr w14:val="tx1"/>
                  </w14:solidFill>
                </w14:textFill>
              </w:rPr>
              <w:t xml:space="preserve">.关于室外附属工程（如景观园林、室外给排水、室外道路等）单独安装项目等结算审核费用可根据项目的具体情况相应提高收费标准，参照附表1执行。 </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14.建设项目全过程造价咨询服务范围和内容划分参照附表2执行。全过程咨询项目因非受托人原因导致服务时间延长，结合咨询合同收费标准，按项目施工合同约定工期以延长时间折算延长咨询费用，驻场人员费用按月标准增加。</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 xml:space="preserve">15.零星造价咨询服务计日收费，特殊专业技术人员咨询服务收费可由双方协议商定。 </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14:textFill>
                  <w14:solidFill>
                    <w14:schemeClr w14:val="tx1"/>
                  </w14:solidFill>
                </w14:textFill>
              </w:rPr>
            </w:pPr>
            <w:r>
              <w:rPr>
                <w:rFonts w:hint="eastAsia"/>
                <w:color w:val="000000" w:themeColor="text1"/>
                <w:sz w:val="20"/>
                <w:szCs w:val="20"/>
                <w:lang w:val="en-US" w:bidi="ar"/>
                <w14:textFill>
                  <w14:solidFill>
                    <w14:schemeClr w14:val="tx1"/>
                  </w14:solidFill>
                </w14:textFill>
              </w:rPr>
              <w:t>16.</w:t>
            </w:r>
            <w:r>
              <w:rPr>
                <w:color w:val="000000" w:themeColor="text1"/>
                <w:sz w:val="20"/>
                <w:szCs w:val="20"/>
                <w:lang w:val="en-US" w:bidi="ar"/>
                <w14:textFill>
                  <w14:solidFill>
                    <w14:schemeClr w14:val="tx1"/>
                  </w14:solidFill>
                </w14:textFill>
              </w:rPr>
              <w:t>EPC项目施工方案优化</w:t>
            </w:r>
            <w:r>
              <w:rPr>
                <w:rFonts w:hint="eastAsia"/>
                <w:color w:val="000000" w:themeColor="text1"/>
                <w:sz w:val="20"/>
                <w:szCs w:val="20"/>
                <w:lang w:val="en-US" w:bidi="ar"/>
                <w14:textFill>
                  <w14:solidFill>
                    <w14:schemeClr w14:val="tx1"/>
                  </w14:solidFill>
                </w14:textFill>
              </w:rPr>
              <w:t xml:space="preserve">，可参照设计方案优化收费计取费用。                                                               </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14:textFill>
                  <w14:solidFill>
                    <w14:schemeClr w14:val="tx1"/>
                  </w14:solidFill>
                </w14:textFill>
              </w:rPr>
            </w:pPr>
            <w:r>
              <w:rPr>
                <w:rFonts w:hint="eastAsia"/>
                <w:color w:val="000000" w:themeColor="text1"/>
                <w:sz w:val="20"/>
                <w:szCs w:val="20"/>
                <w:lang w:val="en-US"/>
                <w14:textFill>
                  <w14:solidFill>
                    <w14:schemeClr w14:val="tx1"/>
                  </w14:solidFill>
                </w14:textFill>
              </w:rPr>
              <w:t>17</w:t>
            </w:r>
            <w:r>
              <w:rPr>
                <w:rFonts w:hint="eastAsia"/>
                <w:color w:val="000000" w:themeColor="text1"/>
                <w:sz w:val="20"/>
                <w:szCs w:val="20"/>
                <w14:textFill>
                  <w14:solidFill>
                    <w14:schemeClr w14:val="tx1"/>
                  </w14:solidFill>
                </w14:textFill>
              </w:rPr>
              <w:t>.本</w:t>
            </w:r>
            <w:r>
              <w:rPr>
                <w:rFonts w:hint="eastAsia"/>
                <w:color w:val="000000" w:themeColor="text1"/>
                <w:sz w:val="20"/>
                <w:szCs w:val="20"/>
                <w:lang w:val="en-US" w:eastAsia="zh-CN" w:bidi="ar"/>
                <w14:textFill>
                  <w14:solidFill>
                    <w14:schemeClr w14:val="tx1"/>
                  </w14:solidFill>
                </w14:textFill>
              </w:rPr>
              <w:t>《成本参考价》</w:t>
            </w:r>
            <w:r>
              <w:rPr>
                <w:rFonts w:hint="eastAsia"/>
                <w:color w:val="000000" w:themeColor="text1"/>
                <w:sz w:val="20"/>
                <w:szCs w:val="20"/>
                <w14:textFill>
                  <w14:solidFill>
                    <w14:schemeClr w14:val="tx1"/>
                  </w14:solidFill>
                </w14:textFill>
              </w:rPr>
              <w:t>不含BIM 建模费用，发生时另行计算。</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18.建设工程造价咨询服务收费标准实行分档累进计费方式，如某</w:t>
            </w:r>
            <w:r>
              <w:rPr>
                <w:rFonts w:hint="eastAsia"/>
                <w:color w:val="000000" w:themeColor="text1"/>
                <w:sz w:val="20"/>
                <w:szCs w:val="20"/>
                <w14:textFill>
                  <w14:solidFill>
                    <w14:schemeClr w14:val="tx1"/>
                  </w14:solidFill>
                </w14:textFill>
              </w:rPr>
              <w:t>单独发包装饰装修工程</w:t>
            </w:r>
            <w:r>
              <w:rPr>
                <w:color w:val="000000" w:themeColor="text1"/>
                <w:sz w:val="20"/>
                <w:szCs w:val="20"/>
                <w14:textFill>
                  <w14:solidFill>
                    <w14:schemeClr w14:val="tx1"/>
                  </w14:solidFill>
                </w14:textFill>
              </w:rPr>
              <w:t>总投资5000万元的工程量清单及招标控制价的编制，计算收费额如下：</w:t>
            </w:r>
          </w:p>
          <w:p>
            <w:pPr>
              <w:keepNext w:val="0"/>
              <w:keepLines w:val="0"/>
              <w:pageBreakBefore w:val="0"/>
              <w:widowControl/>
              <w:kinsoku/>
              <w:wordWrap/>
              <w:overflowPunct/>
              <w:topLinePunct w:val="0"/>
              <w:autoSpaceDE/>
              <w:autoSpaceDN/>
              <w:bidi w:val="0"/>
              <w:adjustRightInd w:val="0"/>
              <w:snapToGrid w:val="0"/>
              <w:spacing w:line="312" w:lineRule="auto"/>
              <w:ind w:firstLine="200" w:firstLineChars="100"/>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200万元×3.0‰＝0.60万元</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500万元-200万元）×2.8‰＝0.84万元</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1000万元－500万元）×2.6‰＝1.30万元</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3000万元-1000万元）×2.4‰＝4.80万元</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5000万元-3000万元）×2.2‰＝4.40万元</w:t>
            </w:r>
          </w:p>
          <w:p>
            <w:pPr>
              <w:keepNext w:val="0"/>
              <w:keepLines w:val="0"/>
              <w:pageBreakBefore w:val="0"/>
              <w:widowControl/>
              <w:kinsoku/>
              <w:wordWrap/>
              <w:overflowPunct/>
              <w:topLinePunct w:val="0"/>
              <w:autoSpaceDE/>
              <w:autoSpaceDN/>
              <w:bidi w:val="0"/>
              <w:adjustRightInd w:val="0"/>
              <w:snapToGrid w:val="0"/>
              <w:spacing w:line="312" w:lineRule="auto"/>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应收咨询费合计＝</w:t>
            </w:r>
            <w:r>
              <w:rPr>
                <w:color w:val="000000" w:themeColor="text1"/>
                <w:sz w:val="20"/>
                <w:szCs w:val="20"/>
                <w14:textFill>
                  <w14:solidFill>
                    <w14:schemeClr w14:val="tx1"/>
                  </w14:solidFill>
                </w14:textFill>
              </w:rPr>
              <w:t>(0.60万元＋0.84万元＋1.30万元</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4.80万元＋4.40万元)*1.3(专业调整系数）＝15.522万元</w:t>
            </w:r>
          </w:p>
          <w:p>
            <w:pPr>
              <w:widowControl/>
              <w:adjustRightInd w:val="0"/>
              <w:snapToGrid w:val="0"/>
              <w:spacing w:line="28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bl>
    <w:p>
      <w:pPr>
        <w:rPr>
          <w:rFonts w:asciiTheme="minorEastAsia" w:hAnsiTheme="minorEastAsia" w:cstheme="minorEastAsia"/>
          <w:bCs/>
          <w:color w:val="000000" w:themeColor="text1"/>
          <w:sz w:val="24"/>
          <w:szCs w:val="24"/>
          <w:lang w:val="en-US" w:bidi="ar"/>
          <w14:textFill>
            <w14:solidFill>
              <w14:schemeClr w14:val="tx1"/>
            </w14:solidFill>
          </w14:textFill>
        </w:rPr>
        <w:sectPr>
          <w:footerReference r:id="rId3" w:type="default"/>
          <w:pgSz w:w="16838" w:h="11906" w:orient="landscape"/>
          <w:pgMar w:top="567" w:right="1440" w:bottom="567" w:left="1440" w:header="851" w:footer="992" w:gutter="0"/>
          <w:pgNumType w:fmt="decimal" w:start="3"/>
          <w:cols w:space="0" w:num="1"/>
          <w:docGrid w:type="lines" w:linePitch="319" w:charSpace="0"/>
        </w:sectPr>
      </w:pPr>
    </w:p>
    <w:tbl>
      <w:tblPr>
        <w:tblStyle w:val="9"/>
        <w:tblW w:w="8472" w:type="dxa"/>
        <w:jc w:val="center"/>
        <w:tblLayout w:type="fixed"/>
        <w:tblCellMar>
          <w:top w:w="0" w:type="dxa"/>
          <w:left w:w="0" w:type="dxa"/>
          <w:bottom w:w="0" w:type="dxa"/>
          <w:right w:w="0" w:type="dxa"/>
        </w:tblCellMar>
      </w:tblPr>
      <w:tblGrid>
        <w:gridCol w:w="8472"/>
      </w:tblGrid>
      <w:tr>
        <w:tblPrEx>
          <w:tblCellMar>
            <w:top w:w="0" w:type="dxa"/>
            <w:left w:w="0" w:type="dxa"/>
            <w:bottom w:w="0" w:type="dxa"/>
            <w:right w:w="0" w:type="dxa"/>
          </w:tblCellMar>
        </w:tblPrEx>
        <w:trPr>
          <w:trHeight w:val="7868" w:hRule="atLeast"/>
          <w:jc w:val="center"/>
        </w:trPr>
        <w:tc>
          <w:tcPr>
            <w:tcW w:w="8472" w:type="dxa"/>
            <w:tcBorders>
              <w:top w:val="nil"/>
              <w:left w:val="nil"/>
              <w:bottom w:val="nil"/>
              <w:right w:val="nil"/>
            </w:tcBorders>
            <w:shd w:val="clear" w:color="auto" w:fill="auto"/>
            <w:noWrap/>
            <w:tcMar>
              <w:top w:w="15" w:type="dxa"/>
              <w:left w:w="15" w:type="dxa"/>
              <w:right w:w="15" w:type="dxa"/>
            </w:tcMar>
            <w:vAlign w:val="center"/>
          </w:tcPr>
          <w:p>
            <w:pPr>
              <w:widowControl/>
              <w:textAlignment w:val="center"/>
              <w:rPr>
                <w:b/>
                <w:bCs/>
                <w:color w:val="000000" w:themeColor="text1"/>
                <w:sz w:val="24"/>
                <w:szCs w:val="24"/>
                <w:lang w:val="en-US" w:bidi="ar"/>
                <w14:textFill>
                  <w14:solidFill>
                    <w14:schemeClr w14:val="tx1"/>
                  </w14:solidFill>
                </w14:textFill>
              </w:rPr>
            </w:pPr>
            <w:r>
              <w:rPr>
                <w:rFonts w:hint="eastAsia"/>
                <w:b/>
                <w:bCs/>
                <w:color w:val="000000" w:themeColor="text1"/>
                <w:sz w:val="24"/>
                <w:szCs w:val="24"/>
                <w:lang w:val="en-US" w:bidi="ar"/>
                <w14:textFill>
                  <w14:solidFill>
                    <w14:schemeClr w14:val="tx1"/>
                  </w14:solidFill>
                </w14:textFill>
              </w:rPr>
              <w:t>附表</w:t>
            </w:r>
            <w:r>
              <w:rPr>
                <w:b/>
                <w:bCs/>
                <w:color w:val="000000" w:themeColor="text1"/>
                <w:sz w:val="24"/>
                <w:szCs w:val="24"/>
                <w:lang w:val="en-US" w:bidi="ar"/>
                <w14:textFill>
                  <w14:solidFill>
                    <w14:schemeClr w14:val="tx1"/>
                  </w14:solidFill>
                </w14:textFill>
              </w:rPr>
              <w:t>1</w:t>
            </w:r>
          </w:p>
          <w:p>
            <w:pPr>
              <w:widowControl/>
              <w:textAlignment w:val="center"/>
              <w:rPr>
                <w:color w:val="000000" w:themeColor="text1"/>
                <w:lang w:val="en-US" w:bidi="ar"/>
                <w14:textFill>
                  <w14:solidFill>
                    <w14:schemeClr w14:val="tx1"/>
                  </w14:solidFill>
                </w14:textFill>
              </w:rPr>
            </w:pPr>
          </w:p>
          <w:p>
            <w:pPr>
              <w:widowControl/>
              <w:jc w:val="center"/>
              <w:textAlignment w:val="center"/>
              <w:rPr>
                <w:b/>
                <w:color w:val="000000" w:themeColor="text1"/>
                <w:sz w:val="32"/>
                <w:szCs w:val="32"/>
                <w:lang w:val="en-US" w:bidi="ar"/>
                <w14:textFill>
                  <w14:solidFill>
                    <w14:schemeClr w14:val="tx1"/>
                  </w14:solidFill>
                </w14:textFill>
              </w:rPr>
            </w:pPr>
            <w:r>
              <w:rPr>
                <w:rFonts w:hint="eastAsia"/>
                <w:b/>
                <w:color w:val="000000" w:themeColor="text1"/>
                <w:sz w:val="32"/>
                <w:szCs w:val="32"/>
                <w:lang w:val="en-US" w:bidi="ar"/>
                <w14:textFill>
                  <w14:solidFill>
                    <w14:schemeClr w14:val="tx1"/>
                  </w14:solidFill>
                </w14:textFill>
              </w:rPr>
              <w:t>建设工程造价咨询收费专业工程调整系数表</w:t>
            </w:r>
          </w:p>
          <w:tbl>
            <w:tblPr>
              <w:tblStyle w:val="9"/>
              <w:tblW w:w="7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546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448" w:type="pct"/>
                  <w:shd w:val="clear" w:color="auto" w:fill="FFFFFF" w:themeFill="background1"/>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序号</w:t>
                  </w:r>
                </w:p>
              </w:tc>
              <w:tc>
                <w:tcPr>
                  <w:tcW w:w="3541" w:type="pct"/>
                  <w:shd w:val="clear" w:color="auto" w:fill="FFFFFF" w:themeFill="background1"/>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工程类型</w:t>
                  </w:r>
                </w:p>
              </w:tc>
              <w:tc>
                <w:tcPr>
                  <w:tcW w:w="1010" w:type="pct"/>
                  <w:shd w:val="clear" w:color="auto" w:fill="FFFFFF" w:themeFill="background1"/>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专业调整系数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1</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矿山采选工程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黑色、黄金、化学、非金属及其他矿采选工程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采煤工程，有色、铀矿采选工程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选煤及其他煤炭工程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2</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加工冶炼工程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各类冷加工工程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船舶水工工程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各类冶炼、热加工、压力加工工程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核加工工程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3</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石油化工工程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3</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石油、化工、石化、化纤、医药工程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3</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核化工工程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4</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水利电力工程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风力发电、其他水利工程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火电工程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核电常规岛、水电、水库、送变电工程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核能工程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5</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交通运输工程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机场场道工程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公路、城市道路工程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机场空管和助航灯光、轻轨工程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水运、地铁、桥梁、隧道工程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.5</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索道工程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6</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建筑市政工程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邮政工艺工程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建筑、市政、电信工程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人防、园林绿化、广电工艺工程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单独出具成果文件的装饰装修工程</w:t>
                  </w:r>
                </w:p>
              </w:tc>
              <w:tc>
                <w:tcPr>
                  <w:tcW w:w="1010" w:type="pct"/>
                  <w:vAlign w:val="center"/>
                </w:tcPr>
                <w:p>
                  <w:pPr>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.5</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单独发包仿古建筑、抗震加固工程</w:t>
                  </w:r>
                </w:p>
              </w:tc>
              <w:tc>
                <w:tcPr>
                  <w:tcW w:w="1010" w:type="pct"/>
                  <w:vAlign w:val="center"/>
                </w:tcPr>
                <w:p>
                  <w:pPr>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.6</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单独出具成果文件的安装工程</w:t>
                  </w:r>
                </w:p>
              </w:tc>
              <w:tc>
                <w:tcPr>
                  <w:tcW w:w="1010" w:type="pct"/>
                  <w:vAlign w:val="center"/>
                </w:tcPr>
                <w:p>
                  <w:pPr>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7</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农业林业工程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7</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农业工程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7</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林业工程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bl>
          <w:p>
            <w:pPr>
              <w:widowControl/>
              <w:textAlignment w:val="center"/>
              <w:rPr>
                <w:b/>
                <w:bCs/>
                <w:color w:val="000000" w:themeColor="text1"/>
                <w:sz w:val="24"/>
                <w:szCs w:val="24"/>
                <w:lang w:val="en-US" w:bidi="ar"/>
                <w14:textFill>
                  <w14:solidFill>
                    <w14:schemeClr w14:val="tx1"/>
                  </w14:solidFill>
                </w14:textFill>
              </w:rPr>
            </w:pPr>
            <w:r>
              <w:rPr>
                <w:rFonts w:hint="eastAsia"/>
                <w:b/>
                <w:bCs/>
                <w:color w:val="000000" w:themeColor="text1"/>
                <w:sz w:val="24"/>
                <w:szCs w:val="24"/>
                <w:lang w:val="en-US" w:bidi="ar"/>
                <w14:textFill>
                  <w14:solidFill>
                    <w14:schemeClr w14:val="tx1"/>
                  </w14:solidFill>
                </w14:textFill>
              </w:rPr>
              <w:t>附表</w:t>
            </w:r>
            <w:r>
              <w:rPr>
                <w:b/>
                <w:bCs/>
                <w:color w:val="000000" w:themeColor="text1"/>
                <w:sz w:val="24"/>
                <w:szCs w:val="24"/>
                <w:lang w:val="en-US" w:bidi="ar"/>
                <w14:textFill>
                  <w14:solidFill>
                    <w14:schemeClr w14:val="tx1"/>
                  </w14:solidFill>
                </w14:textFill>
              </w:rPr>
              <w:t>2</w:t>
            </w:r>
          </w:p>
          <w:p>
            <w:pPr>
              <w:widowControl/>
              <w:adjustRightInd w:val="0"/>
              <w:snapToGrid w:val="0"/>
              <w:jc w:val="center"/>
              <w:textAlignment w:val="center"/>
              <w:rPr>
                <w:rFonts w:hint="eastAsia"/>
                <w:b/>
                <w:color w:val="000000" w:themeColor="text1"/>
                <w:sz w:val="32"/>
                <w:szCs w:val="32"/>
                <w:lang w:val="en-US" w:bidi="ar"/>
                <w14:textFill>
                  <w14:solidFill>
                    <w14:schemeClr w14:val="tx1"/>
                  </w14:solidFill>
                </w14:textFill>
              </w:rPr>
            </w:pPr>
            <w:r>
              <w:rPr>
                <w:rFonts w:hint="eastAsia"/>
                <w:b/>
                <w:color w:val="000000" w:themeColor="text1"/>
                <w:sz w:val="32"/>
                <w:szCs w:val="32"/>
                <w:lang w:val="en-US" w:bidi="ar"/>
                <w14:textFill>
                  <w14:solidFill>
                    <w14:schemeClr w14:val="tx1"/>
                  </w14:solidFill>
                </w14:textFill>
              </w:rPr>
              <w:t>建设项目全过程造价咨询委托服务范围划分</w:t>
            </w:r>
          </w:p>
          <w:p>
            <w:pPr>
              <w:widowControl/>
              <w:adjustRightInd w:val="0"/>
              <w:snapToGrid w:val="0"/>
              <w:jc w:val="center"/>
              <w:textAlignment w:val="center"/>
              <w:rPr>
                <w:rFonts w:hint="eastAsia"/>
                <w:b/>
                <w:color w:val="000000" w:themeColor="text1"/>
                <w:sz w:val="32"/>
                <w:szCs w:val="32"/>
                <w:lang w:val="en-US" w:bidi="ar"/>
                <w14:textFill>
                  <w14:solidFill>
                    <w14:schemeClr w14:val="tx1"/>
                  </w14:solidFill>
                </w14:textFill>
              </w:rPr>
            </w:pPr>
          </w:p>
          <w:tbl>
            <w:tblPr>
              <w:tblStyle w:val="10"/>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38" w:type="dxa"/>
                  <w:vAlign w:val="center"/>
                </w:tcPr>
                <w:p>
                  <w:pPr>
                    <w:widowControl/>
                    <w:jc w:val="center"/>
                    <w:textAlignment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类</w:t>
                  </w:r>
                  <w:r>
                    <w:rPr>
                      <w:b/>
                      <w:bCs/>
                      <w:color w:val="000000" w:themeColor="text1"/>
                      <w:lang w:val="en-US" w:bidi="ar"/>
                      <w14:textFill>
                        <w14:solidFill>
                          <w14:schemeClr w14:val="tx1"/>
                        </w14:solidFill>
                      </w14:textFill>
                    </w:rPr>
                    <w:t xml:space="preserve">  型</w:t>
                  </w:r>
                </w:p>
              </w:tc>
              <w:tc>
                <w:tcPr>
                  <w:tcW w:w="6562" w:type="dxa"/>
                  <w:vAlign w:val="center"/>
                </w:tcPr>
                <w:p>
                  <w:pPr>
                    <w:widowControl/>
                    <w:jc w:val="center"/>
                    <w:textAlignment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838" w:type="dxa"/>
                  <w:vAlign w:val="center"/>
                </w:tcPr>
                <w:p>
                  <w:pPr>
                    <w:widowControl/>
                    <w:jc w:val="center"/>
                    <w:textAlignment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A型（从</w:t>
                  </w:r>
                  <w:r>
                    <w:rPr>
                      <w:rFonts w:hint="eastAsia"/>
                      <w:color w:val="000000" w:themeColor="text1"/>
                      <w:lang w:val="en-US" w:bidi="ar"/>
                      <w14:textFill>
                        <w14:solidFill>
                          <w14:schemeClr w14:val="tx1"/>
                        </w14:solidFill>
                      </w14:textFill>
                    </w:rPr>
                    <w:t>决策阶段</w:t>
                  </w:r>
                  <w:r>
                    <w:rPr>
                      <w:color w:val="000000" w:themeColor="text1"/>
                      <w:lang w:val="en-US" w:bidi="ar"/>
                      <w14:textFill>
                        <w14:solidFill>
                          <w14:schemeClr w14:val="tx1"/>
                        </w14:solidFill>
                      </w14:textFill>
                    </w:rPr>
                    <w:t>开始）</w:t>
                  </w:r>
                </w:p>
              </w:tc>
              <w:tc>
                <w:tcPr>
                  <w:tcW w:w="6562" w:type="dxa"/>
                  <w:vMerge w:val="restart"/>
                </w:tcPr>
                <w:p>
                  <w:pPr>
                    <w:widowControl/>
                    <w:spacing w:line="360" w:lineRule="auto"/>
                    <w:jc w:val="left"/>
                    <w:textAlignment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全过程造价咨询依据建设项目的建设程序可划分为决策阶段、设计阶段、交易阶段、施工阶段。</w:t>
                  </w:r>
                  <w:r>
                    <w:rPr>
                      <w:rFonts w:hint="eastAsia"/>
                      <w:color w:val="000000" w:themeColor="text1"/>
                      <w:lang w:val="en-US" w:bidi="ar"/>
                      <w14:textFill>
                        <w14:solidFill>
                          <w14:schemeClr w14:val="tx1"/>
                        </w14:solidFill>
                      </w14:textFill>
                    </w:rPr>
                    <w:t>（1）</w:t>
                  </w:r>
                  <w:r>
                    <w:rPr>
                      <w:b/>
                      <w:bCs/>
                      <w:color w:val="000000" w:themeColor="text1"/>
                      <w:lang w:val="en-US" w:bidi="ar"/>
                      <w14:textFill>
                        <w14:solidFill>
                          <w14:schemeClr w14:val="tx1"/>
                        </w14:solidFill>
                      </w14:textFill>
                    </w:rPr>
                    <w:t>决策阶段</w:t>
                  </w:r>
                  <w:r>
                    <w:rPr>
                      <w:color w:val="000000" w:themeColor="text1"/>
                      <w:lang w:val="en-US" w:bidi="ar"/>
                      <w14:textFill>
                        <w14:solidFill>
                          <w14:schemeClr w14:val="tx1"/>
                        </w14:solidFill>
                      </w14:textFill>
                    </w:rPr>
                    <w:t>：①建设项目投资估算的编制或审核、调整；②建设项目经济评价。</w:t>
                  </w:r>
                  <w:r>
                    <w:rPr>
                      <w:rFonts w:hint="eastAsia"/>
                      <w:color w:val="000000" w:themeColor="text1"/>
                      <w:lang w:val="en-US" w:bidi="ar"/>
                      <w14:textFill>
                        <w14:solidFill>
                          <w14:schemeClr w14:val="tx1"/>
                        </w14:solidFill>
                      </w14:textFill>
                    </w:rPr>
                    <w:t>（2）</w:t>
                  </w:r>
                  <w:r>
                    <w:rPr>
                      <w:rFonts w:hint="eastAsia"/>
                      <w:b/>
                      <w:bCs/>
                      <w:color w:val="000000" w:themeColor="text1"/>
                      <w:lang w:val="en-US" w:bidi="ar"/>
                      <w14:textFill>
                        <w14:solidFill>
                          <w14:schemeClr w14:val="tx1"/>
                        </w14:solidFill>
                      </w14:textFill>
                    </w:rPr>
                    <w:t>勘察</w:t>
                  </w:r>
                  <w:r>
                    <w:rPr>
                      <w:b/>
                      <w:bCs/>
                      <w:color w:val="000000" w:themeColor="text1"/>
                      <w:lang w:val="en-US" w:bidi="ar"/>
                      <w14:textFill>
                        <w14:solidFill>
                          <w14:schemeClr w14:val="tx1"/>
                        </w14:solidFill>
                      </w14:textFill>
                    </w:rPr>
                    <w:t>设计阶段</w:t>
                  </w:r>
                  <w:r>
                    <w:rPr>
                      <w:color w:val="000000" w:themeColor="text1"/>
                      <w:lang w:val="en-US" w:bidi="ar"/>
                      <w14:textFill>
                        <w14:solidFill>
                          <w14:schemeClr w14:val="tx1"/>
                        </w14:solidFill>
                      </w14:textFill>
                    </w:rPr>
                    <w:t>：①设计概算的编制或审核、调整；②施工图预算的编制或审核；③提出工程设计方案的优化建议，各方案工程造价的编制与比选。</w:t>
                  </w:r>
                  <w:r>
                    <w:rPr>
                      <w:rFonts w:hint="eastAsia"/>
                      <w:color w:val="000000" w:themeColor="text1"/>
                      <w:lang w:val="en-US" w:bidi="ar"/>
                      <w14:textFill>
                        <w14:solidFill>
                          <w14:schemeClr w14:val="tx1"/>
                        </w14:solidFill>
                      </w14:textFill>
                    </w:rPr>
                    <w:t>（3）</w:t>
                  </w:r>
                  <w:r>
                    <w:rPr>
                      <w:b/>
                      <w:bCs/>
                      <w:color w:val="000000" w:themeColor="text1"/>
                      <w:lang w:val="en-US" w:bidi="ar"/>
                      <w14:textFill>
                        <w14:solidFill>
                          <w14:schemeClr w14:val="tx1"/>
                        </w14:solidFill>
                      </w14:textFill>
                    </w:rPr>
                    <w:t>交易阶段</w:t>
                  </w:r>
                  <w:r>
                    <w:rPr>
                      <w:color w:val="000000" w:themeColor="text1"/>
                      <w:lang w:val="en-US" w:bidi="ar"/>
                      <w14:textFill>
                        <w14:solidFill>
                          <w14:schemeClr w14:val="tx1"/>
                        </w14:solidFill>
                      </w14:textFill>
                    </w:rPr>
                    <w:t>：①参与工程招标文件的编制；②施工合同的相关造价条款的拟定；③招标工程工程量清单的编制；④招标工程招标控制价的编制或审核；</w:t>
                  </w:r>
                  <w:r>
                    <w:rPr>
                      <w:rFonts w:hint="eastAsia"/>
                      <w:color w:val="000000" w:themeColor="text1"/>
                      <w:lang w:val="en-US" w:bidi="ar"/>
                      <w14:textFill>
                        <w14:solidFill>
                          <w14:schemeClr w14:val="tx1"/>
                        </w14:solidFill>
                      </w14:textFill>
                    </w:rPr>
                    <w:t>⑤各类招标项目投标价合理性的分析。（4）</w:t>
                  </w:r>
                  <w:r>
                    <w:rPr>
                      <w:b/>
                      <w:bCs/>
                      <w:color w:val="000000" w:themeColor="text1"/>
                      <w:lang w:val="en-US" w:bidi="ar"/>
                      <w14:textFill>
                        <w14:solidFill>
                          <w14:schemeClr w14:val="tx1"/>
                        </w14:solidFill>
                      </w14:textFill>
                    </w:rPr>
                    <w:t>施工阶段</w:t>
                  </w:r>
                  <w:r>
                    <w:rPr>
                      <w:color w:val="000000" w:themeColor="text1"/>
                      <w:lang w:val="en-US" w:bidi="ar"/>
                      <w14:textFill>
                        <w14:solidFill>
                          <w14:schemeClr w14:val="tx1"/>
                        </w14:solidFill>
                      </w14:textFill>
                    </w:rPr>
                    <w:t>：①建设项目工程造价相关合同履行过程的管理；②提出工程施工方案的优化建议，各方案工程造价的编制与比选；③工程计量支付的确定，审核工程款支付申请，提出资金使用计划建议；④施工过程的设计变更、工程签证和工程索赔的处理；⑤协助建设单位进行投资分析、风险控制，提出融资方案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838" w:type="dxa"/>
                  <w:vAlign w:val="center"/>
                </w:tcPr>
                <w:p>
                  <w:pPr>
                    <w:widowControl/>
                    <w:jc w:val="center"/>
                    <w:textAlignment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B型(从勘察设计</w:t>
                  </w:r>
                  <w:r>
                    <w:rPr>
                      <w:rFonts w:hint="eastAsia"/>
                      <w:color w:val="000000" w:themeColor="text1"/>
                      <w:lang w:val="en-US" w:bidi="ar"/>
                      <w14:textFill>
                        <w14:solidFill>
                          <w14:schemeClr w14:val="tx1"/>
                        </w14:solidFill>
                      </w14:textFill>
                    </w:rPr>
                    <w:t>阶段</w:t>
                  </w:r>
                  <w:r>
                    <w:rPr>
                      <w:color w:val="000000" w:themeColor="text1"/>
                      <w:lang w:val="en-US" w:bidi="ar"/>
                      <w14:textFill>
                        <w14:solidFill>
                          <w14:schemeClr w14:val="tx1"/>
                        </w14:solidFill>
                      </w14:textFill>
                    </w:rPr>
                    <w:t>开始）</w:t>
                  </w:r>
                </w:p>
              </w:tc>
              <w:tc>
                <w:tcPr>
                  <w:tcW w:w="6562" w:type="dxa"/>
                  <w:vMerge w:val="continue"/>
                </w:tcPr>
                <w:p>
                  <w:pPr>
                    <w:widowControl/>
                    <w:jc w:val="center"/>
                    <w:textAlignment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38" w:type="dxa"/>
                  <w:vAlign w:val="center"/>
                </w:tcPr>
                <w:p>
                  <w:pPr>
                    <w:widowControl/>
                    <w:jc w:val="center"/>
                    <w:textAlignment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C型（从</w:t>
                  </w:r>
                  <w:r>
                    <w:rPr>
                      <w:rFonts w:hint="eastAsia"/>
                      <w:color w:val="000000" w:themeColor="text1"/>
                      <w:lang w:val="en-US" w:bidi="ar"/>
                      <w14:textFill>
                        <w14:solidFill>
                          <w14:schemeClr w14:val="tx1"/>
                        </w14:solidFill>
                      </w14:textFill>
                    </w:rPr>
                    <w:t>交易阶段</w:t>
                  </w:r>
                  <w:r>
                    <w:rPr>
                      <w:color w:val="000000" w:themeColor="text1"/>
                      <w:lang w:val="en-US" w:bidi="ar"/>
                      <w14:textFill>
                        <w14:solidFill>
                          <w14:schemeClr w14:val="tx1"/>
                        </w14:solidFill>
                      </w14:textFill>
                    </w:rPr>
                    <w:t>开始）</w:t>
                  </w:r>
                </w:p>
              </w:tc>
              <w:tc>
                <w:tcPr>
                  <w:tcW w:w="6562" w:type="dxa"/>
                  <w:vMerge w:val="continue"/>
                </w:tcPr>
                <w:p>
                  <w:pPr>
                    <w:widowControl/>
                    <w:jc w:val="center"/>
                    <w:textAlignment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838" w:type="dxa"/>
                  <w:vAlign w:val="center"/>
                </w:tcPr>
                <w:p>
                  <w:pPr>
                    <w:widowControl/>
                    <w:jc w:val="center"/>
                    <w:textAlignment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D型（从施工</w:t>
                  </w:r>
                  <w:r>
                    <w:rPr>
                      <w:rFonts w:hint="eastAsia"/>
                      <w:color w:val="000000" w:themeColor="text1"/>
                      <w:lang w:val="en-US" w:bidi="ar"/>
                      <w14:textFill>
                        <w14:solidFill>
                          <w14:schemeClr w14:val="tx1"/>
                        </w14:solidFill>
                      </w14:textFill>
                    </w:rPr>
                    <w:t>阶段</w:t>
                  </w:r>
                  <w:r>
                    <w:rPr>
                      <w:color w:val="000000" w:themeColor="text1"/>
                      <w:lang w:val="en-US" w:bidi="ar"/>
                      <w14:textFill>
                        <w14:solidFill>
                          <w14:schemeClr w14:val="tx1"/>
                        </w14:solidFill>
                      </w14:textFill>
                    </w:rPr>
                    <w:t>开始）</w:t>
                  </w:r>
                </w:p>
              </w:tc>
              <w:tc>
                <w:tcPr>
                  <w:tcW w:w="6562" w:type="dxa"/>
                  <w:vMerge w:val="continue"/>
                </w:tcPr>
                <w:p>
                  <w:pPr>
                    <w:widowControl/>
                    <w:jc w:val="center"/>
                    <w:textAlignment w:val="center"/>
                    <w:rPr>
                      <w:color w:val="000000" w:themeColor="text1"/>
                      <w:lang w:val="en-US" w:bidi="ar"/>
                      <w14:textFill>
                        <w14:solidFill>
                          <w14:schemeClr w14:val="tx1"/>
                        </w14:solidFill>
                      </w14:textFill>
                    </w:rPr>
                  </w:pPr>
                </w:p>
              </w:tc>
            </w:tr>
          </w:tbl>
          <w:p>
            <w:pPr>
              <w:widowControl/>
              <w:autoSpaceDE/>
              <w:autoSpaceDN/>
              <w:adjustRightInd w:val="0"/>
              <w:snapToGrid w:val="0"/>
              <w:spacing w:line="240" w:lineRule="exact"/>
              <w:textAlignment w:val="center"/>
              <w:rPr>
                <w:color w:val="000000" w:themeColor="text1"/>
                <w:lang w:val="en-US" w:bidi="ar"/>
                <w14:textFill>
                  <w14:solidFill>
                    <w14:schemeClr w14:val="tx1"/>
                  </w14:solidFill>
                </w14:textFill>
              </w:rPr>
            </w:pPr>
          </w:p>
        </w:tc>
      </w:tr>
    </w:tbl>
    <w:p>
      <w:pPr>
        <w:jc w:val="both"/>
        <w:rPr>
          <w:color w:val="000000" w:themeColor="text1"/>
          <w:sz w:val="36"/>
          <w:szCs w:val="36"/>
          <w:lang w:val="en-US"/>
          <w14:textFill>
            <w14:solidFill>
              <w14:schemeClr w14:val="tx1"/>
            </w14:solidFill>
          </w14:textFill>
        </w:rPr>
      </w:pPr>
    </w:p>
    <w:p>
      <w:pPr>
        <w:jc w:val="both"/>
        <w:rPr>
          <w:color w:val="000000" w:themeColor="text1"/>
          <w:sz w:val="36"/>
          <w:szCs w:val="36"/>
          <w:lang w:val="en-US"/>
          <w14:textFill>
            <w14:solidFill>
              <w14:schemeClr w14:val="tx1"/>
            </w14:solidFill>
          </w14:textFill>
        </w:rPr>
      </w:pPr>
    </w:p>
    <w:p>
      <w:pPr>
        <w:jc w:val="both"/>
        <w:rPr>
          <w:color w:val="000000" w:themeColor="text1"/>
          <w:sz w:val="36"/>
          <w:szCs w:val="36"/>
          <w:lang w:val="en-US"/>
          <w14:textFill>
            <w14:solidFill>
              <w14:schemeClr w14:val="tx1"/>
            </w14:solidFill>
          </w14:textFill>
        </w:rPr>
      </w:pPr>
    </w:p>
    <w:p>
      <w:pPr>
        <w:jc w:val="both"/>
        <w:rPr>
          <w:color w:val="000000" w:themeColor="text1"/>
          <w:sz w:val="36"/>
          <w:szCs w:val="36"/>
          <w:lang w:val="en-US"/>
          <w14:textFill>
            <w14:solidFill>
              <w14:schemeClr w14:val="tx1"/>
            </w14:solidFill>
          </w14:textFill>
        </w:rPr>
      </w:pPr>
    </w:p>
    <w:p>
      <w:pPr>
        <w:jc w:val="both"/>
        <w:rPr>
          <w:color w:val="000000" w:themeColor="text1"/>
          <w:sz w:val="36"/>
          <w:szCs w:val="36"/>
          <w:lang w:val="en-US"/>
          <w14:textFill>
            <w14:solidFill>
              <w14:schemeClr w14:val="tx1"/>
            </w14:solidFill>
          </w14:textFill>
        </w:rPr>
      </w:pPr>
    </w:p>
    <w:p>
      <w:pPr>
        <w:jc w:val="both"/>
        <w:rPr>
          <w:color w:val="000000" w:themeColor="text1"/>
          <w:sz w:val="36"/>
          <w:szCs w:val="36"/>
          <w:lang w:val="en-US"/>
          <w14:textFill>
            <w14:solidFill>
              <w14:schemeClr w14:val="tx1"/>
            </w14:solidFill>
          </w14:textFill>
        </w:rPr>
      </w:pP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6A90516-B9C0-4A21-A024-ABFFDBB9E4AE}"/>
  </w:font>
  <w:font w:name="黑体">
    <w:panose1 w:val="02010609060101010101"/>
    <w:charset w:val="86"/>
    <w:family w:val="auto"/>
    <w:pitch w:val="default"/>
    <w:sig w:usb0="800002BF" w:usb1="38CF7CFA" w:usb2="00000016" w:usb3="00000000" w:csb0="00040001" w:csb1="00000000"/>
    <w:embedRegular r:id="rId2" w:fontKey="{18EF8857-9DC0-496B-BF16-8B530F3209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embedRegular r:id="rId3" w:fontKey="{FFBADD42-B5E3-4706-9FD1-A132A7D2F4AA}"/>
  </w:font>
  <w:font w:name="等线">
    <w:panose1 w:val="02010600030101010101"/>
    <w:charset w:val="86"/>
    <w:family w:val="auto"/>
    <w:pitch w:val="default"/>
    <w:sig w:usb0="00000000" w:usb1="00000000" w:usb2="00000000" w:usb3="00000000" w:csb0="00000000" w:csb1="00000000"/>
    <w:embedRegular r:id="rId4" w:fontKey="{BB91CA7F-4FBB-4472-B38F-9180D13F7B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B76A5"/>
    <w:rsid w:val="00014F02"/>
    <w:rsid w:val="00016AEB"/>
    <w:rsid w:val="00021748"/>
    <w:rsid w:val="00023AAF"/>
    <w:rsid w:val="00034512"/>
    <w:rsid w:val="00036934"/>
    <w:rsid w:val="000420B1"/>
    <w:rsid w:val="00042763"/>
    <w:rsid w:val="00070AEB"/>
    <w:rsid w:val="00085AC8"/>
    <w:rsid w:val="000879C1"/>
    <w:rsid w:val="000A3B6A"/>
    <w:rsid w:val="000A6ED4"/>
    <w:rsid w:val="000B0076"/>
    <w:rsid w:val="000B2FA4"/>
    <w:rsid w:val="000B31F4"/>
    <w:rsid w:val="000F5ABD"/>
    <w:rsid w:val="001221C2"/>
    <w:rsid w:val="0012455F"/>
    <w:rsid w:val="00130AF8"/>
    <w:rsid w:val="0014688F"/>
    <w:rsid w:val="00165439"/>
    <w:rsid w:val="00185A74"/>
    <w:rsid w:val="001D38FB"/>
    <w:rsid w:val="001E1D91"/>
    <w:rsid w:val="001F6252"/>
    <w:rsid w:val="00240084"/>
    <w:rsid w:val="00243057"/>
    <w:rsid w:val="00270411"/>
    <w:rsid w:val="002A45B1"/>
    <w:rsid w:val="002A668D"/>
    <w:rsid w:val="002D5F7C"/>
    <w:rsid w:val="002D775C"/>
    <w:rsid w:val="002F04D2"/>
    <w:rsid w:val="003003AF"/>
    <w:rsid w:val="00311D53"/>
    <w:rsid w:val="0032456B"/>
    <w:rsid w:val="00330166"/>
    <w:rsid w:val="00346967"/>
    <w:rsid w:val="003532F7"/>
    <w:rsid w:val="0038275F"/>
    <w:rsid w:val="003901FC"/>
    <w:rsid w:val="003912FB"/>
    <w:rsid w:val="003C6CE3"/>
    <w:rsid w:val="003D618C"/>
    <w:rsid w:val="0041089A"/>
    <w:rsid w:val="00411270"/>
    <w:rsid w:val="00413A2A"/>
    <w:rsid w:val="00423080"/>
    <w:rsid w:val="00425B59"/>
    <w:rsid w:val="00430A6C"/>
    <w:rsid w:val="00437AE3"/>
    <w:rsid w:val="00463EA0"/>
    <w:rsid w:val="00465912"/>
    <w:rsid w:val="004746BE"/>
    <w:rsid w:val="00475B49"/>
    <w:rsid w:val="004777F7"/>
    <w:rsid w:val="00487761"/>
    <w:rsid w:val="00497B04"/>
    <w:rsid w:val="004B163C"/>
    <w:rsid w:val="004B3793"/>
    <w:rsid w:val="004B604E"/>
    <w:rsid w:val="004D3F2F"/>
    <w:rsid w:val="004E049F"/>
    <w:rsid w:val="004F0C6A"/>
    <w:rsid w:val="0050204A"/>
    <w:rsid w:val="00520E7E"/>
    <w:rsid w:val="00545A02"/>
    <w:rsid w:val="00554765"/>
    <w:rsid w:val="00557F6C"/>
    <w:rsid w:val="00583F47"/>
    <w:rsid w:val="0058590F"/>
    <w:rsid w:val="005B476A"/>
    <w:rsid w:val="005C384A"/>
    <w:rsid w:val="005C3A76"/>
    <w:rsid w:val="005E1B30"/>
    <w:rsid w:val="00624262"/>
    <w:rsid w:val="006B4D16"/>
    <w:rsid w:val="006D1C6A"/>
    <w:rsid w:val="006D760E"/>
    <w:rsid w:val="006F2336"/>
    <w:rsid w:val="006F7DB0"/>
    <w:rsid w:val="0071240A"/>
    <w:rsid w:val="007137FA"/>
    <w:rsid w:val="00726B91"/>
    <w:rsid w:val="00743AA7"/>
    <w:rsid w:val="0074405C"/>
    <w:rsid w:val="007462AB"/>
    <w:rsid w:val="007553AD"/>
    <w:rsid w:val="00755AC4"/>
    <w:rsid w:val="00760BF0"/>
    <w:rsid w:val="00761903"/>
    <w:rsid w:val="00771738"/>
    <w:rsid w:val="00787094"/>
    <w:rsid w:val="00791A7F"/>
    <w:rsid w:val="00793C4D"/>
    <w:rsid w:val="007C5E60"/>
    <w:rsid w:val="007D54A4"/>
    <w:rsid w:val="007E4439"/>
    <w:rsid w:val="007F0F28"/>
    <w:rsid w:val="007F38B7"/>
    <w:rsid w:val="007F5147"/>
    <w:rsid w:val="00807D2D"/>
    <w:rsid w:val="00825023"/>
    <w:rsid w:val="0082685C"/>
    <w:rsid w:val="00826F77"/>
    <w:rsid w:val="0083117E"/>
    <w:rsid w:val="00844F55"/>
    <w:rsid w:val="00854DB1"/>
    <w:rsid w:val="0085705D"/>
    <w:rsid w:val="00861104"/>
    <w:rsid w:val="00865D29"/>
    <w:rsid w:val="00882FAD"/>
    <w:rsid w:val="00884BB6"/>
    <w:rsid w:val="00884FC8"/>
    <w:rsid w:val="008A1D65"/>
    <w:rsid w:val="008C387F"/>
    <w:rsid w:val="008C389E"/>
    <w:rsid w:val="008D4A9B"/>
    <w:rsid w:val="008D521B"/>
    <w:rsid w:val="008E1A05"/>
    <w:rsid w:val="008E2995"/>
    <w:rsid w:val="008E5234"/>
    <w:rsid w:val="00900558"/>
    <w:rsid w:val="009052F5"/>
    <w:rsid w:val="00937EC2"/>
    <w:rsid w:val="0095046B"/>
    <w:rsid w:val="009A0EB7"/>
    <w:rsid w:val="009B5A2C"/>
    <w:rsid w:val="009C7676"/>
    <w:rsid w:val="009E4F24"/>
    <w:rsid w:val="009F5456"/>
    <w:rsid w:val="00A05345"/>
    <w:rsid w:val="00A05C56"/>
    <w:rsid w:val="00A10B80"/>
    <w:rsid w:val="00A13766"/>
    <w:rsid w:val="00A24923"/>
    <w:rsid w:val="00A452D2"/>
    <w:rsid w:val="00A46854"/>
    <w:rsid w:val="00A50594"/>
    <w:rsid w:val="00A53612"/>
    <w:rsid w:val="00A55CBF"/>
    <w:rsid w:val="00A72871"/>
    <w:rsid w:val="00A75359"/>
    <w:rsid w:val="00A81FB2"/>
    <w:rsid w:val="00A90A11"/>
    <w:rsid w:val="00A91C71"/>
    <w:rsid w:val="00A94D1C"/>
    <w:rsid w:val="00AD3AB5"/>
    <w:rsid w:val="00AD6335"/>
    <w:rsid w:val="00AD6DEC"/>
    <w:rsid w:val="00AF2272"/>
    <w:rsid w:val="00AF7013"/>
    <w:rsid w:val="00B01413"/>
    <w:rsid w:val="00B05FDE"/>
    <w:rsid w:val="00B14B26"/>
    <w:rsid w:val="00B24478"/>
    <w:rsid w:val="00B3234C"/>
    <w:rsid w:val="00B37018"/>
    <w:rsid w:val="00B373B5"/>
    <w:rsid w:val="00B42969"/>
    <w:rsid w:val="00B50B85"/>
    <w:rsid w:val="00B63B68"/>
    <w:rsid w:val="00B83AAB"/>
    <w:rsid w:val="00B94F02"/>
    <w:rsid w:val="00BA7F60"/>
    <w:rsid w:val="00BB2F04"/>
    <w:rsid w:val="00BB5006"/>
    <w:rsid w:val="00BB765F"/>
    <w:rsid w:val="00BC3C60"/>
    <w:rsid w:val="00BD0CF0"/>
    <w:rsid w:val="00BD209E"/>
    <w:rsid w:val="00BE2D6E"/>
    <w:rsid w:val="00C04B82"/>
    <w:rsid w:val="00C20CAD"/>
    <w:rsid w:val="00C31E1B"/>
    <w:rsid w:val="00C3702A"/>
    <w:rsid w:val="00C410CC"/>
    <w:rsid w:val="00C526E1"/>
    <w:rsid w:val="00C52C1F"/>
    <w:rsid w:val="00C57176"/>
    <w:rsid w:val="00C5794E"/>
    <w:rsid w:val="00C85C7D"/>
    <w:rsid w:val="00C86C1F"/>
    <w:rsid w:val="00C92AE6"/>
    <w:rsid w:val="00C95F5C"/>
    <w:rsid w:val="00CA1B25"/>
    <w:rsid w:val="00CC2643"/>
    <w:rsid w:val="00CC39C2"/>
    <w:rsid w:val="00CC45CB"/>
    <w:rsid w:val="00CC7D82"/>
    <w:rsid w:val="00CE12F4"/>
    <w:rsid w:val="00CF455C"/>
    <w:rsid w:val="00D24F1A"/>
    <w:rsid w:val="00D346FB"/>
    <w:rsid w:val="00D360EF"/>
    <w:rsid w:val="00D42504"/>
    <w:rsid w:val="00D452F6"/>
    <w:rsid w:val="00D53E91"/>
    <w:rsid w:val="00D751C7"/>
    <w:rsid w:val="00DC4C4A"/>
    <w:rsid w:val="00DC79FF"/>
    <w:rsid w:val="00DD722E"/>
    <w:rsid w:val="00DE07E3"/>
    <w:rsid w:val="00DE7439"/>
    <w:rsid w:val="00DF7847"/>
    <w:rsid w:val="00E124C9"/>
    <w:rsid w:val="00E2361E"/>
    <w:rsid w:val="00E24E84"/>
    <w:rsid w:val="00E33A62"/>
    <w:rsid w:val="00E37043"/>
    <w:rsid w:val="00E37ED0"/>
    <w:rsid w:val="00E5652B"/>
    <w:rsid w:val="00E74A7F"/>
    <w:rsid w:val="00E908F7"/>
    <w:rsid w:val="00E91573"/>
    <w:rsid w:val="00E916CD"/>
    <w:rsid w:val="00EC00A6"/>
    <w:rsid w:val="00EC2197"/>
    <w:rsid w:val="00EC40EB"/>
    <w:rsid w:val="00ED11D8"/>
    <w:rsid w:val="00EF6238"/>
    <w:rsid w:val="00F013D7"/>
    <w:rsid w:val="00F04023"/>
    <w:rsid w:val="00F140C3"/>
    <w:rsid w:val="00F20480"/>
    <w:rsid w:val="00F21957"/>
    <w:rsid w:val="00F53DEF"/>
    <w:rsid w:val="00F57148"/>
    <w:rsid w:val="00F66330"/>
    <w:rsid w:val="00F70E04"/>
    <w:rsid w:val="00F8209A"/>
    <w:rsid w:val="00F86DD3"/>
    <w:rsid w:val="00FA23C5"/>
    <w:rsid w:val="00FB5571"/>
    <w:rsid w:val="00FC553D"/>
    <w:rsid w:val="00FD769F"/>
    <w:rsid w:val="0198076F"/>
    <w:rsid w:val="035202C0"/>
    <w:rsid w:val="04787EEA"/>
    <w:rsid w:val="0572612F"/>
    <w:rsid w:val="05831500"/>
    <w:rsid w:val="058D4CDB"/>
    <w:rsid w:val="07A82E0A"/>
    <w:rsid w:val="07DF6EF9"/>
    <w:rsid w:val="08B0243B"/>
    <w:rsid w:val="08B93D0D"/>
    <w:rsid w:val="0A3C58CF"/>
    <w:rsid w:val="0AC703EC"/>
    <w:rsid w:val="0B9825C0"/>
    <w:rsid w:val="0C06611B"/>
    <w:rsid w:val="0CCC70CA"/>
    <w:rsid w:val="0D065E2B"/>
    <w:rsid w:val="0EAE49F5"/>
    <w:rsid w:val="119257EB"/>
    <w:rsid w:val="123267B7"/>
    <w:rsid w:val="132A6BA5"/>
    <w:rsid w:val="14B56780"/>
    <w:rsid w:val="15C408CC"/>
    <w:rsid w:val="1BA9206D"/>
    <w:rsid w:val="1C2D2405"/>
    <w:rsid w:val="1D3B4A4D"/>
    <w:rsid w:val="1ECE0DAD"/>
    <w:rsid w:val="201E4CA7"/>
    <w:rsid w:val="20FD2C78"/>
    <w:rsid w:val="221046AA"/>
    <w:rsid w:val="233F3153"/>
    <w:rsid w:val="24F267D6"/>
    <w:rsid w:val="275E61E0"/>
    <w:rsid w:val="27E62E86"/>
    <w:rsid w:val="293E0179"/>
    <w:rsid w:val="2A5C0F09"/>
    <w:rsid w:val="2CB12B2F"/>
    <w:rsid w:val="2D7975DF"/>
    <w:rsid w:val="2D9C7BCA"/>
    <w:rsid w:val="2DE64E9C"/>
    <w:rsid w:val="2F1E41DF"/>
    <w:rsid w:val="2F756485"/>
    <w:rsid w:val="30501977"/>
    <w:rsid w:val="31E546F9"/>
    <w:rsid w:val="3290175B"/>
    <w:rsid w:val="32C43EEA"/>
    <w:rsid w:val="32CC673B"/>
    <w:rsid w:val="33015F72"/>
    <w:rsid w:val="335E7841"/>
    <w:rsid w:val="33EF366F"/>
    <w:rsid w:val="35E742C3"/>
    <w:rsid w:val="374534D2"/>
    <w:rsid w:val="375A1942"/>
    <w:rsid w:val="39EC450F"/>
    <w:rsid w:val="3A944EC5"/>
    <w:rsid w:val="3AC01D5A"/>
    <w:rsid w:val="3BDA45D3"/>
    <w:rsid w:val="3C8F0C4E"/>
    <w:rsid w:val="3D68243B"/>
    <w:rsid w:val="3E9A39A0"/>
    <w:rsid w:val="3EEE5EB2"/>
    <w:rsid w:val="3F2E408D"/>
    <w:rsid w:val="401077B2"/>
    <w:rsid w:val="405729CD"/>
    <w:rsid w:val="411F5BE1"/>
    <w:rsid w:val="426E332C"/>
    <w:rsid w:val="46033786"/>
    <w:rsid w:val="467539BE"/>
    <w:rsid w:val="47C3731C"/>
    <w:rsid w:val="48274A86"/>
    <w:rsid w:val="485F6F16"/>
    <w:rsid w:val="49B33C9B"/>
    <w:rsid w:val="4A273112"/>
    <w:rsid w:val="4A682569"/>
    <w:rsid w:val="4B2F2671"/>
    <w:rsid w:val="4BF5068D"/>
    <w:rsid w:val="4DF94B34"/>
    <w:rsid w:val="4EA817F6"/>
    <w:rsid w:val="50E8646F"/>
    <w:rsid w:val="513B76A5"/>
    <w:rsid w:val="53030EB2"/>
    <w:rsid w:val="547C5E4D"/>
    <w:rsid w:val="5809588A"/>
    <w:rsid w:val="581973E9"/>
    <w:rsid w:val="58955345"/>
    <w:rsid w:val="592C6090"/>
    <w:rsid w:val="59DF06C2"/>
    <w:rsid w:val="5C3E3584"/>
    <w:rsid w:val="5CAD3652"/>
    <w:rsid w:val="5DAA5086"/>
    <w:rsid w:val="5E7E5A17"/>
    <w:rsid w:val="5FCF41EB"/>
    <w:rsid w:val="5FEB7703"/>
    <w:rsid w:val="606779E0"/>
    <w:rsid w:val="6147737C"/>
    <w:rsid w:val="61CA6CB5"/>
    <w:rsid w:val="62100AF8"/>
    <w:rsid w:val="6247119B"/>
    <w:rsid w:val="63A80FBF"/>
    <w:rsid w:val="64000BE4"/>
    <w:rsid w:val="64023441"/>
    <w:rsid w:val="69D516E1"/>
    <w:rsid w:val="6CC959B8"/>
    <w:rsid w:val="6CEF00E4"/>
    <w:rsid w:val="6D0F0230"/>
    <w:rsid w:val="70E47E41"/>
    <w:rsid w:val="70F4765C"/>
    <w:rsid w:val="724D343A"/>
    <w:rsid w:val="728164C8"/>
    <w:rsid w:val="72DB1EED"/>
    <w:rsid w:val="73C545E9"/>
    <w:rsid w:val="7446395D"/>
    <w:rsid w:val="7572712A"/>
    <w:rsid w:val="75970BDC"/>
    <w:rsid w:val="77821B16"/>
    <w:rsid w:val="78774485"/>
    <w:rsid w:val="788A4197"/>
    <w:rsid w:val="798232EF"/>
    <w:rsid w:val="79CD20AE"/>
    <w:rsid w:val="7B724AA4"/>
    <w:rsid w:val="7DF64567"/>
    <w:rsid w:val="7F7230E5"/>
    <w:rsid w:val="7F9E7014"/>
    <w:rsid w:val="7FC720F3"/>
    <w:rsid w:val="7FEE5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line="576" w:lineRule="auto"/>
      <w:jc w:val="center"/>
      <w:outlineLvl w:val="0"/>
    </w:pPr>
    <w:rPr>
      <w:rFonts w:ascii="Calibri" w:hAnsi="Calibri" w:eastAsia="新宋体"/>
      <w:b/>
      <w:kern w:val="44"/>
      <w:sz w:val="32"/>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239"/>
      <w:ind w:left="820"/>
      <w:outlineLvl w:val="2"/>
    </w:pPr>
    <w:rPr>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新宋体" w:hAnsi="新宋体" w:eastAsia="新宋体" w:cs="新宋体"/>
      <w:sz w:val="24"/>
      <w:szCs w:val="24"/>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font51"/>
    <w:basedOn w:val="11"/>
    <w:qFormat/>
    <w:uiPriority w:val="0"/>
    <w:rPr>
      <w:rFonts w:hint="eastAsia" w:ascii="宋体" w:hAnsi="宋体" w:eastAsia="宋体" w:cs="宋体"/>
      <w:b/>
      <w:color w:val="000000"/>
      <w:sz w:val="28"/>
      <w:szCs w:val="28"/>
      <w:u w:val="none"/>
    </w:rPr>
  </w:style>
  <w:style w:type="character" w:customStyle="1" w:styleId="16">
    <w:name w:val="font01"/>
    <w:basedOn w:val="11"/>
    <w:qFormat/>
    <w:uiPriority w:val="0"/>
    <w:rPr>
      <w:rFonts w:ascii="Arial" w:hAnsi="Arial" w:eastAsia="宋体" w:cs="Arial"/>
      <w:b/>
      <w:color w:val="000000"/>
      <w:sz w:val="28"/>
      <w:szCs w:val="28"/>
      <w:u w:val="none"/>
    </w:rPr>
  </w:style>
  <w:style w:type="character" w:customStyle="1" w:styleId="17">
    <w:name w:val="font71"/>
    <w:basedOn w:val="11"/>
    <w:qFormat/>
    <w:uiPriority w:val="0"/>
    <w:rPr>
      <w:rFonts w:hint="eastAsia" w:ascii="宋体" w:hAnsi="宋体" w:eastAsia="宋体" w:cs="宋体"/>
      <w:color w:val="000000"/>
      <w:sz w:val="22"/>
      <w:szCs w:val="22"/>
      <w:u w:val="none"/>
    </w:rPr>
  </w:style>
  <w:style w:type="character" w:customStyle="1" w:styleId="18">
    <w:name w:val="font141"/>
    <w:basedOn w:val="11"/>
    <w:qFormat/>
    <w:uiPriority w:val="0"/>
    <w:rPr>
      <w:rFonts w:hint="default" w:ascii="Arial" w:hAnsi="Arial" w:cs="Arial"/>
      <w:b/>
      <w:color w:val="000000"/>
      <w:sz w:val="20"/>
      <w:szCs w:val="20"/>
      <w:u w:val="none"/>
    </w:rPr>
  </w:style>
  <w:style w:type="character" w:customStyle="1" w:styleId="19">
    <w:name w:val="font81"/>
    <w:basedOn w:val="11"/>
    <w:qFormat/>
    <w:uiPriority w:val="0"/>
    <w:rPr>
      <w:rFonts w:hint="eastAsia" w:ascii="宋体" w:hAnsi="宋体" w:eastAsia="宋体" w:cs="宋体"/>
      <w:b/>
      <w:color w:val="000000"/>
      <w:sz w:val="20"/>
      <w:szCs w:val="20"/>
      <w:u w:val="none"/>
    </w:rPr>
  </w:style>
  <w:style w:type="character" w:customStyle="1" w:styleId="20">
    <w:name w:val="font111"/>
    <w:basedOn w:val="11"/>
    <w:qFormat/>
    <w:uiPriority w:val="0"/>
    <w:rPr>
      <w:rFonts w:hint="default" w:ascii="Arial" w:hAnsi="Arial" w:cs="Arial"/>
      <w:color w:val="000000"/>
      <w:sz w:val="22"/>
      <w:szCs w:val="22"/>
      <w:u w:val="none"/>
    </w:rPr>
  </w:style>
  <w:style w:type="character" w:customStyle="1" w:styleId="21">
    <w:name w:val="font21"/>
    <w:basedOn w:val="11"/>
    <w:qFormat/>
    <w:uiPriority w:val="0"/>
    <w:rPr>
      <w:rFonts w:hint="eastAsia" w:ascii="宋体" w:hAnsi="宋体" w:eastAsia="宋体" w:cs="宋体"/>
      <w:color w:val="000000"/>
      <w:sz w:val="20"/>
      <w:szCs w:val="20"/>
      <w:u w:val="none"/>
    </w:rPr>
  </w:style>
  <w:style w:type="character" w:customStyle="1" w:styleId="22">
    <w:name w:val="font151"/>
    <w:basedOn w:val="11"/>
    <w:qFormat/>
    <w:uiPriority w:val="0"/>
    <w:rPr>
      <w:rFonts w:hint="default" w:ascii="Arial" w:hAnsi="Arial" w:cs="Arial"/>
      <w:color w:val="000000"/>
      <w:sz w:val="20"/>
      <w:szCs w:val="20"/>
      <w:u w:val="none"/>
    </w:rPr>
  </w:style>
  <w:style w:type="character" w:customStyle="1" w:styleId="23">
    <w:name w:val="font13"/>
    <w:basedOn w:val="11"/>
    <w:qFormat/>
    <w:uiPriority w:val="0"/>
    <w:rPr>
      <w:rFonts w:hint="eastAsia" w:ascii="宋体" w:hAnsi="宋体" w:eastAsia="宋体" w:cs="宋体"/>
      <w:color w:val="000000"/>
      <w:sz w:val="22"/>
      <w:szCs w:val="22"/>
      <w:u w:val="none"/>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DD558-0693-4004-B9D0-7E37399C5E47}">
  <ds:schemaRefs/>
</ds:datastoreItem>
</file>

<file path=docProps/app.xml><?xml version="1.0" encoding="utf-8"?>
<Properties xmlns="http://schemas.openxmlformats.org/officeDocument/2006/extended-properties" xmlns:vt="http://schemas.openxmlformats.org/officeDocument/2006/docPropsVTypes">
  <Template>Normal</Template>
  <Pages>8</Pages>
  <Words>1030</Words>
  <Characters>5877</Characters>
  <Lines>48</Lines>
  <Paragraphs>13</Paragraphs>
  <TotalTime>2</TotalTime>
  <ScaleCrop>false</ScaleCrop>
  <LinksUpToDate>false</LinksUpToDate>
  <CharactersWithSpaces>6894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2021-01-22T06:23:00Z</dcterms:created>
  <dc:creator>春芳</dc:creator>
  <cp:lastModifiedBy>风</cp:lastModifiedBy>
  <cp:lastPrinted>2021-08-30T01:37:00Z</cp:lastPrinted>
  <dcterms:modified xsi:type="dcterms:W3CDTF">2021-09-07T06:28:12Z</dcterms:modified>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1579D42B67FD49FAB3C2D0D0ADA490D7</vt:lpwstr>
  </property>
</Properties>
</file>